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16"/>
        <w:ind w:left="0" w:right="0" w:firstLine="0"/>
        <w:jc w:val="center"/>
        <w:keepNext/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071399" cy="1125315"/>
                <wp:effectExtent l="0" t="0" r="0" b="0"/>
                <wp:docPr id="1" name="Изображение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4293990" name="Изображение 7"/>
                        <pic:cNvPicPr/>
                        <pic:nvPr/>
                      </pic:nvPicPr>
                      <pic:blipFill>
                        <a:blip r:embed="rId13"/>
                        <a:srcRect l="23519" t="28558" r="19474" b="34151"/>
                        <a:stretch/>
                      </pic:blipFill>
                      <pic:spPr bwMode="auto">
                        <a:xfrm rot="0" flipH="0" flipV="0">
                          <a:off x="0" y="0"/>
                          <a:ext cx="5071397" cy="1125315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9.32pt;height:88.61pt;mso-wrap-distance-left:0.00pt;mso-wrap-distance-top:0.00pt;mso-wrap-distance-right:0.00pt;mso-wrap-distance-bottom:0.00pt;rotation:0;" stroked="f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pStyle w:val="1116"/>
        <w:ind w:left="4536"/>
        <w:keepNext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116"/>
        <w:ind w:left="4536"/>
        <w:keepNext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jc w:val="left"/>
        <w:spacing w:before="0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                                                                               «УТВЕРЖДАЮ»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Председатель закупочной комиссии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АО «ДГК» 1-го уровня-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З</w:t>
      </w:r>
      <w:r>
        <w:rPr>
          <w:sz w:val="26"/>
          <w:szCs w:val="26"/>
        </w:rPr>
        <w:t xml:space="preserve">аместитель Г</w:t>
      </w:r>
      <w:r>
        <w:rPr>
          <w:sz w:val="26"/>
          <w:szCs w:val="26"/>
        </w:rPr>
        <w:t xml:space="preserve">енерального директора п</w:t>
      </w:r>
      <w:r>
        <w:rPr>
          <w:sz w:val="26"/>
          <w:szCs w:val="26"/>
        </w:rPr>
        <w:t xml:space="preserve">о управлению ресурсами АО «ДГК»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Д.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Богонатов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«_____» __________________2026г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16"/>
        <w:ind w:left="4536"/>
        <w:keepNext/>
      </w:pPr>
      <w:r/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116"/>
        <w:jc w:val="center"/>
        <w:keepNext/>
        <w:spacing w:before="0" w:beforeAutospacing="0" w:line="240" w:lineRule="auto"/>
      </w:pPr>
      <w:r>
        <w:t xml:space="preserve">Аукцион в электронной форме, </w:t>
      </w:r>
      <w:r>
        <w:t xml:space="preserve">участниками которого могут быть только субъекты МСП, </w:t>
      </w:r>
      <w:r>
        <w:t xml:space="preserve">на право заключения договора на (</w:t>
      </w:r>
      <w:r>
        <w:t xml:space="preserve">ОКПД2: 27.90.12.120) поставку вводов высоковольтных  для АО «ДГК» </w:t>
      </w:r>
      <w:r>
        <w:t xml:space="preserve">Приморский край</w:t>
      </w:r>
      <w:r>
        <w:t xml:space="preserve">.</w:t>
      </w:r>
      <w:r/>
    </w:p>
    <w:p>
      <w:pPr>
        <w:pStyle w:val="1116"/>
        <w:jc w:val="center"/>
        <w:keepNext/>
        <w:spacing w:before="240"/>
      </w:pPr>
      <w:r>
        <w:t xml:space="preserve">(Лот №12016000</w:t>
      </w:r>
      <w:r>
        <w:t xml:space="preserve">-РЕМ ПРОД-2027-ДГК</w:t>
      </w:r>
      <w:r>
        <w:t xml:space="preserve">)</w:t>
      </w:r>
      <w:r/>
    </w:p>
    <w:p>
      <w:pPr>
        <w:pStyle w:val="1116"/>
        <w:keepNext/>
      </w:pPr>
      <w:r/>
      <w:r/>
    </w:p>
    <w:p>
      <w:pPr>
        <w:pStyle w:val="1116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5"/>
        <w:outlineLvl w:val="2"/>
      </w:pPr>
      <w:r>
        <w:t xml:space="preserve">Содержание</w:t>
      </w:r>
      <w:r/>
    </w:p>
    <w:p>
      <w:pPr>
        <w:pStyle w:val="1129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26"/>
          </w:rPr>
        </w:r>
        <w:r>
          <w:rPr>
            <w:rStyle w:val="1126"/>
          </w:rPr>
          <w:t xml:space="preserve">Сокращения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/>
      <w:r/>
    </w:p>
    <w:p>
      <w:pPr>
        <w:pStyle w:val="1129"/>
        <w:tabs>
          <w:tab w:val="right" w:pos="9923" w:leader="none"/>
        </w:tabs>
      </w:pPr>
      <w:r/>
      <w:hyperlink w:tooltip="#_Toc2" w:anchor="_Toc2" w:history="1">
        <w:r>
          <w:rPr>
            <w:rStyle w:val="1126"/>
          </w:rPr>
        </w:r>
        <w:r>
          <w:rPr>
            <w:rStyle w:val="1126"/>
          </w:rPr>
          <w:t xml:space="preserve">Термины и определения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Основные сведения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Статус настоящего раздела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Информация о проводимой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сведения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Правовой статус документов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Обжалование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Особые положения при проведении закупки с использованием ЭП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19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Прочие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19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Требования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21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требования к Участникам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21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Генеральные подрядчики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21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Порядок проведения закупки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Общий порядок проведения закупки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Официальное размещение Извещения и Документации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Подготовка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Разъяснение Документации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Изменения </w:t>
        </w:r>
        <w:r>
          <w:rPr>
            <w:rStyle w:val="1126"/>
          </w:rPr>
          <w:t xml:space="preserve">Извещени</w:t>
        </w:r>
        <w:r>
          <w:rPr>
            <w:rStyle w:val="1126"/>
          </w:rPr>
          <w:t xml:space="preserve">я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и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(или)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Документаци</w:t>
        </w:r>
        <w:r>
          <w:rPr>
            <w:rStyle w:val="1126"/>
          </w:rPr>
          <w:t xml:space="preserve">и</w:t>
        </w:r>
        <w:r>
          <w:rPr>
            <w:rStyle w:val="1126"/>
          </w:rPr>
          <w:t xml:space="preserve">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29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Подача заявок и их прием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30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Изменение и отзыв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30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 первым частям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31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</w:t>
        </w:r>
        <w:r>
          <w:rPr>
            <w:rStyle w:val="1126"/>
          </w:rPr>
          <w:t xml:space="preserve">первых частей </w:t>
        </w:r>
        <w:r>
          <w:rPr>
            <w:rStyle w:val="1126"/>
          </w:rPr>
          <w:t xml:space="preserve">заявок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(</w:t>
        </w:r>
        <w:r>
          <w:rPr>
            <w:rStyle w:val="1126"/>
          </w:rPr>
          <w:t xml:space="preserve">отборочная стадия</w:t>
        </w:r>
        <w:r>
          <w:rPr>
            <w:rStyle w:val="1126"/>
          </w:rPr>
          <w:t xml:space="preserve">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31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Проведение аукциона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ко вторым частям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вторых частей заявок</w:t>
        </w:r>
        <w:r>
          <w:rPr>
            <w:rStyle w:val="1126"/>
          </w:rPr>
          <w:t xml:space="preserve"> (отборочная стадия)</w:t>
        </w:r>
        <w:r>
          <w:rPr>
            <w:rStyle w:val="1126"/>
          </w:rPr>
          <w:t xml:space="preserve">, в том числе (при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необходимости) проведение аккредитации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 ценовым предложениям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ценовых предложений (отборочная стадия)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Дополнительные запросы разъяснений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36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Оценка и сопоставление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37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Применение </w:t>
        </w:r>
        <w:r>
          <w:rPr>
            <w:rStyle w:val="1126"/>
          </w:rPr>
          <w:t xml:space="preserve">законодательства о национальном режиме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38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Подведение итогов закупки (определение Победителя)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40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Признание закупки несостоявшейся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42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Отказ от проведения закупки</w:t>
        </w:r>
        <w:r>
          <w:rPr>
            <w:rStyle w:val="1126"/>
          </w:rPr>
          <w:t xml:space="preserve"> (отмена закупки)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43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Особенности</w:t>
        </w:r>
        <w:r>
          <w:rPr>
            <w:rStyle w:val="1126"/>
          </w:rPr>
          <w:t xml:space="preserve"> проведения закупки с необходимостью обеспечения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44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Особенности проведения м</w:t>
        </w:r>
        <w:r>
          <w:rPr>
            <w:rStyle w:val="1126"/>
          </w:rPr>
          <w:t xml:space="preserve">ноголотов</w:t>
        </w:r>
        <w:r>
          <w:rPr>
            <w:rStyle w:val="1126"/>
          </w:rPr>
          <w:t xml:space="preserve">ой</w:t>
        </w:r>
        <w:r>
          <w:rPr>
            <w:rStyle w:val="1126"/>
          </w:rPr>
          <w:t xml:space="preserve"> закупк</w:t>
        </w:r>
        <w:r>
          <w:rPr>
            <w:rStyle w:val="1126"/>
          </w:rPr>
          <w:t xml:space="preserve">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47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</w:t>
        </w:r>
        <w:r>
          <w:rPr>
            <w:rStyle w:val="1126"/>
          </w:rPr>
          <w:t xml:space="preserve">орядок заключения </w:t>
        </w:r>
        <w:r>
          <w:rPr>
            <w:rStyle w:val="1126"/>
          </w:rPr>
          <w:t xml:space="preserve">Д</w:t>
        </w:r>
        <w:r>
          <w:rPr>
            <w:rStyle w:val="1126"/>
          </w:rPr>
          <w:t xml:space="preserve">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Заключение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Уклонение Победителя от заключения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51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 – Технические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53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Техническим требованиям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53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2 – Проект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54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</w:t>
        </w:r>
        <w:r>
          <w:rPr>
            <w:rStyle w:val="1126"/>
          </w:rPr>
          <w:t xml:space="preserve">П</w:t>
        </w:r>
        <w:r>
          <w:rPr>
            <w:rStyle w:val="1126"/>
          </w:rPr>
          <w:t xml:space="preserve">роекту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54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3 – Требования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</w:t>
        </w:r>
        <w:r>
          <w:rPr>
            <w:rStyle w:val="1126"/>
          </w:rPr>
          <w:t xml:space="preserve">требованиям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Обязательные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Специальные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Дополнительные т</w:t>
        </w:r>
        <w:r>
          <w:rPr>
            <w:rStyle w:val="1126"/>
          </w:rPr>
          <w:t xml:space="preserve">ребования к Генеральным подрядчикам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59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</w:t>
        </w:r>
        <w:r>
          <w:rPr>
            <w:rStyle w:val="1126"/>
          </w:rPr>
          <w:t xml:space="preserve">4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– </w:t>
        </w:r>
        <w:r>
          <w:rPr>
            <w:rStyle w:val="1126"/>
          </w:rPr>
          <w:t xml:space="preserve">Образцы форм документов, включаемых в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60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Образца</w:t>
        </w:r>
        <w:r>
          <w:rPr>
            <w:rStyle w:val="1126"/>
          </w:rPr>
          <w:t xml:space="preserve">м</w:t>
        </w:r>
        <w:r>
          <w:rPr>
            <w:rStyle w:val="1126"/>
          </w:rPr>
          <w:t xml:space="preserve"> форм документов, включаемых в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60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5 </w:t>
        </w:r>
        <w:r>
          <w:rPr>
            <w:rStyle w:val="1126"/>
          </w:rPr>
          <w:t xml:space="preserve">– </w:t>
        </w:r>
        <w:r>
          <w:rPr>
            <w:rStyle w:val="1126"/>
          </w:rPr>
          <w:t xml:space="preserve">Образцы форм документов, предоставляемых Победителем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61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Образцам форм документов, предоставляемых Победителем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61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61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Форма «Заверение об обстоятельствах»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61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6</w:t>
        </w:r>
        <w:r>
          <w:rPr>
            <w:rStyle w:val="1126"/>
          </w:rPr>
          <w:t xml:space="preserve"> –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63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63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7</w:t>
        </w:r>
        <w:r>
          <w:rPr>
            <w:rStyle w:val="1126"/>
          </w:rPr>
          <w:t xml:space="preserve"> – Отборочные критерии рассмотрения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65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26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26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65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66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68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26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26"/>
            <w:i w:val="0"/>
            <w:iCs w:val="0"/>
            <w:shd w:val="clear" w:color="auto" w:fill="auto"/>
          </w:rPr>
          <w:t xml:space="preserve">ок</w:t>
        </w:r>
        <w:r>
          <w:rPr>
            <w:rStyle w:val="1126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26"/>
            <w:i w:val="0"/>
            <w:iCs w:val="0"/>
            <w:shd w:val="clear" w:color="auto" w:fill="auto"/>
          </w:rPr>
          <w:t xml:space="preserve">е</w:t>
        </w:r>
        <w:r>
          <w:rPr>
            <w:rStyle w:val="1126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70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8</w:t>
        </w:r>
        <w:r>
          <w:rPr>
            <w:rStyle w:val="1126"/>
          </w:rPr>
          <w:t xml:space="preserve"> – Порядок и критерии оценки и сопоставления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72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Порядок и критерии оценки и сопоставления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72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</w:t>
        </w:r>
        <w:r>
          <w:rPr>
            <w:rStyle w:val="1126"/>
          </w:rPr>
          <w:t xml:space="preserve">9</w:t>
        </w:r>
        <w:r>
          <w:rPr>
            <w:rStyle w:val="1126"/>
          </w:rPr>
          <w:t xml:space="preserve"> – Обоснование НМЦ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73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Обоснованию НМЦ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73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</w:t>
        </w:r>
        <w:r>
          <w:rPr>
            <w:rStyle w:val="1126"/>
          </w:rPr>
          <w:t xml:space="preserve">0</w:t>
        </w:r>
        <w:r>
          <w:rPr>
            <w:rStyle w:val="1126"/>
          </w:rPr>
          <w:t xml:space="preserve"> – Форма Заявки на аккредитацию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74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форме Заявки на аккредитацию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_Toc69 \h</w:instrText>
          <w:fldChar w:fldCharType="separate"/>
          <w:t xml:space="preserve">74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16.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11 </w:t>
        </w:r>
        <w:r>
          <w:rPr>
            <w:rStyle w:val="1126"/>
          </w:rPr>
          <w:t xml:space="preserve">– форма Данных бухгалтерской (финансовой) отчетности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_Toc70 \h</w:instrText>
          <w:fldChar w:fldCharType="separate"/>
          <w:t xml:space="preserve">75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16.1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форме Данных бухгалтерской (финансовой) отчетности</w:t>
        </w:r>
        <w:r>
          <w:rPr>
            <w:rStyle w:val="1126"/>
          </w:rPr>
          <w:t xml:space="preserve"> 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_Toc71 \h</w:instrText>
          <w:fldChar w:fldCharType="separate"/>
          <w:t xml:space="preserve">75</w:t>
          <w:fldChar w:fldCharType="end"/>
        </w:r>
      </w:hyperlink>
      <w:r/>
      <w:r/>
    </w:p>
    <w:p>
      <w:pPr>
        <w:pStyle w:val="1116"/>
      </w:pP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fldChar w:fldCharType="end"/>
      </w:r>
      <w:r/>
    </w:p>
    <w:p>
      <w:pPr>
        <w:pStyle w:val="1116"/>
        <w:keepNext/>
        <w:spacing w:before="60"/>
        <w:rPr>
          <w:rStyle w:val="1147"/>
        </w:rPr>
      </w:pPr>
      <w:r>
        <w:rPr>
          <w:rStyle w:val="1147"/>
        </w:rPr>
        <w:t xml:space="preserve">[Примечание (дополнительные удобства работы с Документацией о закупке; </w:t>
      </w:r>
      <w:r>
        <w:rPr>
          <w:rStyle w:val="1147"/>
        </w:rPr>
        <w:t xml:space="preserve">Microsoft Word | </w:t>
      </w:r>
      <w:r>
        <w:rPr>
          <w:rStyle w:val="1147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47"/>
        </w:rPr>
        <w:t xml:space="preserve">):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47"/>
        </w:rPr>
        <w:t xml:space="preserve"> </w:t>
      </w:r>
      <w:r>
        <w:rPr>
          <w:rStyle w:val="1147"/>
        </w:rPr>
        <w:t xml:space="preserve">| </w:t>
      </w:r>
      <w:r>
        <w:rPr>
          <w:rStyle w:val="1147"/>
          <w:color w:val="4472c4" w:themeColor="accent1"/>
        </w:rPr>
        <w:t xml:space="preserve">включается на вкладке «Вид» опцией «Навигатор»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переход по перекрестным и другим ссылкам осуществляется левым кликом мыши с</w:t>
      </w:r>
      <w:r>
        <w:rPr>
          <w:rStyle w:val="1147"/>
          <w:lang w:val="en-US"/>
        </w:rPr>
        <w:t xml:space="preserve"> </w:t>
      </w:r>
      <w:r>
        <w:rPr>
          <w:rStyle w:val="1147"/>
        </w:rPr>
        <w:t xml:space="preserve">зажатой клавишей Ctrl, обратный возврат на место в тексте, с котор</w:t>
      </w:r>
      <w:r>
        <w:rPr>
          <w:rStyle w:val="1147"/>
        </w:rPr>
        <w:t xml:space="preserve">ого</w:t>
      </w:r>
      <w:r>
        <w:rPr>
          <w:rStyle w:val="1147"/>
        </w:rPr>
        <w:t xml:space="preserve"> был </w:t>
      </w:r>
      <w:r>
        <w:rPr>
          <w:rStyle w:val="1147"/>
        </w:rPr>
        <w:t xml:space="preserve">сделан</w:t>
      </w:r>
      <w:r>
        <w:rPr>
          <w:rStyle w:val="1147"/>
        </w:rPr>
        <w:t xml:space="preserve"> переход, осуществляется нажатием стрелки влево (←) с зажатой левой клавишей Alt</w:t>
      </w:r>
      <w:r>
        <w:rPr>
          <w:rStyle w:val="1147"/>
        </w:rPr>
        <w:t xml:space="preserve"> </w:t>
      </w:r>
      <w:r>
        <w:rPr>
          <w:rStyle w:val="1147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47"/>
        </w:rPr>
        <w:t xml:space="preserve">е</w:t>
      </w:r>
      <w:r>
        <w:rPr>
          <w:rStyle w:val="1147"/>
        </w:rPr>
        <w:t xml:space="preserve"> документа (файла) в</w:t>
      </w:r>
      <w:r>
        <w:rPr>
          <w:rStyle w:val="1147"/>
          <w:lang w:val="en-US"/>
        </w:rPr>
        <w:t xml:space="preserve"> </w:t>
      </w:r>
      <w:r>
        <w:rPr>
          <w:rStyle w:val="1147"/>
        </w:rPr>
        <w:t xml:space="preserve">тексте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47"/>
        </w:rPr>
        <w:t xml:space="preserve">.]</w:t>
      </w:r>
      <w:r>
        <w:rPr>
          <w:rStyle w:val="1147"/>
        </w:rPr>
      </w:r>
      <w:r>
        <w:rPr>
          <w:rStyle w:val="1147"/>
        </w:rPr>
      </w:r>
    </w:p>
    <w:p>
      <w:pPr>
        <w:pStyle w:val="1115"/>
        <w:outlineLvl w:val="0"/>
      </w:pPr>
      <w:r/>
      <w:bookmarkStart w:id="401" w:name="_Toc1"/>
      <w:r>
        <w:t xml:space="preserve">Сокращения</w:t>
      </w:r>
      <w:bookmarkEnd w:id="401"/>
      <w:r/>
      <w:r/>
    </w:p>
    <w:p>
      <w:pPr>
        <w:pStyle w:val="1116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16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ЕАЭС</w:t>
      </w:r>
      <w:r>
        <w:t xml:space="preserve"> – Евразийский экономический союз.</w:t>
      </w:r>
      <w:r/>
    </w:p>
    <w:p>
      <w:pPr>
        <w:pStyle w:val="1116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16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16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16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16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16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16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16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16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16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16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16"/>
        <w:ind w:firstLine="567"/>
      </w:pPr>
      <w:r>
        <w:rPr>
          <w:b/>
          <w:bCs/>
        </w:rPr>
        <w:t xml:space="preserve">ПП 325</w:t>
      </w:r>
      <w:r>
        <w:t xml:space="preserve"> – постановление Правительства Российской Федерации от 23.03.2017 № 325 «Об утверждении дополнительных требований к программам для электронн</w:t>
      </w:r>
      <w:r>
        <w:t xml:space="preserve">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  <w:r/>
    </w:p>
    <w:p>
      <w:pPr>
        <w:pStyle w:val="1116"/>
        <w:ind w:firstLine="567"/>
      </w:pPr>
      <w:r>
        <w:rPr>
          <w:b/>
          <w:bCs/>
        </w:rPr>
        <w:t xml:space="preserve">ПП 719</w:t>
      </w:r>
      <w:r>
        <w:t xml:space="preserve"> – постановление Правительства Российской Федерации от 17.07. 2014 № 719 «О подтверждении производства российской промышленной продукции».</w:t>
      </w:r>
      <w:r/>
    </w:p>
    <w:p>
      <w:pPr>
        <w:pStyle w:val="1116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</w:t>
      </w:r>
      <w:r>
        <w:t xml:space="preserve">Российской Федерации </w:t>
      </w:r>
      <w:r>
        <w:t xml:space="preserve">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</w:t>
      </w:r>
      <w:r>
        <w:t xml:space="preserve"> 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</w:t>
      </w:r>
      <w:r>
        <w:t xml:space="preserve">Российской Федерации </w:t>
      </w:r>
      <w:r>
        <w:t xml:space="preserve">от 23.12.2024 №</w:t>
      </w:r>
      <w:r>
        <w:t xml:space="preserve"> </w:t>
      </w:r>
      <w:r>
        <w:t xml:space="preserve">1875 «О мерах по</w:t>
      </w:r>
      <w:r>
        <w:t xml:space="preserve"> 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16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16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16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15"/>
        <w:outlineLvl w:val="0"/>
      </w:pPr>
      <w:r/>
      <w:bookmarkStart w:id="402" w:name="_Toc2"/>
      <w:r>
        <w:t xml:space="preserve">Термины и определения</w:t>
      </w:r>
      <w:bookmarkEnd w:id="402"/>
      <w:r/>
      <w:r/>
    </w:p>
    <w:p>
      <w:pPr>
        <w:pStyle w:val="1116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6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</w:t>
      </w:r>
      <w:r>
        <w:t xml:space="preserve">;</w:t>
      </w:r>
      <w:r>
        <w:t xml:space="preserve"> без указания сведений о ценовом предложении Участника).</w:t>
      </w:r>
      <w:r/>
    </w:p>
    <w:p>
      <w:pPr>
        <w:pStyle w:val="1116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16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16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16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16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</w:t>
      </w:r>
      <w:r>
        <w:t xml:space="preserve">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16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16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6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16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</w:t>
      </w:r>
      <w:r>
        <w:t xml:space="preserve">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предложении).</w:t>
      </w:r>
      <w:r/>
    </w:p>
    <w:p>
      <w:pPr>
        <w:pStyle w:val="1116"/>
        <w:ind w:firstLine="567"/>
      </w:pPr>
      <w:r>
        <w:rPr>
          <w:b/>
          <w:bCs/>
        </w:rPr>
        <w:t xml:space="preserve">Победитель</w:t>
      </w:r>
      <w:r>
        <w:t xml:space="preserve"> – </w:t>
      </w:r>
      <w:r>
        <w:t xml:space="preserve">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1124"/>
        </w:rPr>
        <w:footnoteReference w:id="2"/>
      </w:r>
      <w:r>
        <w:t xml:space="preserve">. В</w:t>
      </w:r>
      <w:r>
        <w:t xml:space="preserve"> </w:t>
      </w:r>
      <w:r>
        <w:t xml:space="preserve">случае признания закупки несостоявшейся Единственный участник такой закупки, с</w:t>
      </w:r>
      <w:r>
        <w:t xml:space="preserve"> </w:t>
      </w:r>
      <w:r>
        <w:t xml:space="preserve">которым Заказчик принял решение заключить </w:t>
      </w:r>
      <w:r>
        <w:t xml:space="preserve">д</w:t>
      </w:r>
      <w:r>
        <w:t xml:space="preserve">оговор по результатам закупки, в</w:t>
      </w:r>
      <w:r>
        <w:t xml:space="preserve"> </w:t>
      </w:r>
      <w:r>
        <w:t xml:space="preserve">оговоренных Положением о закупке случаях приобретает обязательства Победителя по</w:t>
      </w:r>
      <w:r>
        <w:t xml:space="preserve"> 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а также объединение этих лиц,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16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</w:t>
      </w:r>
      <w:r>
        <w:t xml:space="preserve">х</w:t>
      </w:r>
      <w:r>
        <w:t xml:space="preserve"> услови</w:t>
      </w:r>
      <w:r>
        <w:t xml:space="preserve">й</w:t>
      </w:r>
      <w:r>
        <w:t xml:space="preserve">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16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16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</w:t>
      </w:r>
      <w:r>
        <w:t xml:space="preserve">налоговый режим «Налог на профессиональный доход»</w:t>
      </w:r>
      <w:r>
        <w:rPr>
          <w:rStyle w:val="1124"/>
        </w:rPr>
        <w:footnoteReference w:id="3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</w:t>
      </w:r>
      <w:r>
        <w:t xml:space="preserve">, </w:t>
      </w:r>
      <w:r>
        <w:rPr>
          <w:rFonts w:eastAsia="Calibri" w:cs="Times New Roman"/>
          <w:shd w:val="clear" w:color="auto" w:fill="ffffff" w:themeFill="background1"/>
        </w:rPr>
        <w:t xml:space="preserve">в том числе выданной в порядке передоверия</w:t>
      </w:r>
      <w:r>
        <w:rPr>
          <w:rFonts w:eastAsia="Calibri" w:cs="Times New Roman"/>
          <w:shd w:val="clear" w:color="auto" w:fill="ffffff" w:themeFill="background1"/>
        </w:rPr>
        <w:t xml:space="preserve">,</w:t>
      </w:r>
      <w:r>
        <w:t xml:space="preserve"> от имени организации, полномочия которых подтверждены соответствующими документами.</w:t>
      </w:r>
      <w:r/>
    </w:p>
    <w:p>
      <w:pPr>
        <w:pStyle w:val="1116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t xml:space="preserve"> </w:t>
      </w:r>
      <w:r>
        <w:t xml:space="preserve">соответствии с </w:t>
      </w:r>
      <w:r>
        <w:t xml:space="preserve">Законом</w:t>
      </w:r>
      <w:r>
        <w:t xml:space="preserve"> </w:t>
      </w:r>
      <w:r>
        <w:t xml:space="preserve">255-ФЗ), либо любое физическое лицо, в том числе индивидуальный предприниматель</w:t>
      </w:r>
      <w:r>
        <w:t xml:space="preserve">, выразившее заинтересованность в участии в закупке (посредством получения Документации о</w:t>
      </w:r>
      <w:r>
        <w:t xml:space="preserve"> </w:t>
      </w:r>
      <w: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</w:t>
      </w:r>
      <w:r>
        <w:t xml:space="preserve">не </w:t>
      </w:r>
      <w:r>
        <w:t xml:space="preserve">входящих в состав заявки, но</w:t>
      </w:r>
      <w:r>
        <w:t xml:space="preserve"> </w:t>
      </w:r>
      <w:r>
        <w:t xml:space="preserve">подаваемых </w:t>
      </w:r>
      <w:r>
        <w:t xml:space="preserve">в течение 1 (одного) рабочего дня после завершения процедуры аукциона</w:t>
      </w:r>
      <w:r>
        <w:t xml:space="preserve">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</w:t>
      </w:r>
      <w:r>
        <w:t xml:space="preserve"> </w:t>
      </w:r>
      <w:r>
        <w:t xml:space="preserve">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</w:t>
      </w:r>
      <w:r>
        <w:t xml:space="preserve">, в соответствии с заявленной им в ходе аукциона </w:t>
      </w:r>
      <w:r>
        <w:t xml:space="preserve">стоимости заявки (ценой</w:t>
      </w:r>
      <w:r>
        <w:t xml:space="preserve"> Договора</w:t>
      </w:r>
      <w:r>
        <w:t xml:space="preserve">)</w:t>
      </w:r>
      <w:r>
        <w:t xml:space="preserve">.</w:t>
      </w:r>
      <w:r/>
    </w:p>
    <w:p>
      <w:pPr>
        <w:pStyle w:val="1110"/>
      </w:pPr>
      <w:r/>
      <w:bookmarkStart w:id="403" w:name="_Toc3"/>
      <w:r/>
      <w:bookmarkStart w:id="3" w:name="_Ref125359988"/>
      <w:r>
        <w:t xml:space="preserve">Основные сведения о закупке</w:t>
      </w:r>
      <w:bookmarkEnd w:id="3"/>
      <w:r/>
      <w:bookmarkEnd w:id="403"/>
      <w:r/>
      <w:r/>
    </w:p>
    <w:p>
      <w:pPr>
        <w:pStyle w:val="1111"/>
      </w:pPr>
      <w:r/>
      <w:bookmarkStart w:id="404" w:name="_Toc4"/>
      <w:r>
        <w:t xml:space="preserve">Статус настоящего раздела</w:t>
      </w:r>
      <w:bookmarkEnd w:id="404"/>
      <w:r/>
      <w:r/>
    </w:p>
    <w:p>
      <w:pPr>
        <w:pStyle w:val="1112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12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</w:t>
        </w:r>
        <w:r>
          <w:rPr>
            <w:rStyle w:val="1140"/>
          </w:rPr>
          <w:t xml:space="preserve">х</w:t>
        </w:r>
        <w:r>
          <w:rPr>
            <w:rStyle w:val="1140"/>
          </w:rPr>
          <w:t xml:space="preserve"> требовани</w:t>
        </w:r>
        <w:r>
          <w:rPr>
            <w:rStyle w:val="1140"/>
          </w:rPr>
          <w:t xml:space="preserve">ях (Приложение № 1)</w:t>
        </w:r>
      </w:hyperlink>
      <w:r>
        <w:rPr>
          <w:rStyle w:val="1140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</w:t>
        </w:r>
        <w:r>
          <w:rPr>
            <w:rStyle w:val="1140"/>
          </w:rPr>
          <w:t xml:space="preserve">роект</w:t>
        </w:r>
        <w:r>
          <w:rPr>
            <w:rStyle w:val="1140"/>
          </w:rPr>
          <w:t xml:space="preserve">е</w:t>
        </w:r>
        <w:r>
          <w:rPr>
            <w:rStyle w:val="1140"/>
          </w:rPr>
          <w:t xml:space="preserve"> </w:t>
        </w:r>
        <w:r>
          <w:rPr>
            <w:rStyle w:val="1140"/>
          </w:rPr>
          <w:t xml:space="preserve">д</w:t>
        </w:r>
        <w:r>
          <w:rPr>
            <w:rStyle w:val="1140"/>
          </w:rPr>
          <w:t xml:space="preserve">оговора</w:t>
        </w:r>
        <w:r>
          <w:rPr>
            <w:rStyle w:val="1140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12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11"/>
        <w:spacing w:after="120"/>
      </w:pPr>
      <w:r/>
      <w:bookmarkStart w:id="405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405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5806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Аукцион</w:t>
            </w:r>
            <w:r>
              <w:t xml:space="preserve">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spacing w:before="60" w:after="60"/>
              <w:rPr>
                <w:b/>
                <w:bCs/>
                <w:sz w:val="26"/>
                <w:szCs w:val="26"/>
                <w14:ligatures w14:val="none"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Лот №12016000</w:t>
            </w:r>
            <w:r>
              <w:rPr>
                <w:b w:val="0"/>
                <w:bCs w:val="0"/>
                <w:sz w:val="26"/>
                <w:szCs w:val="26"/>
              </w:rPr>
              <w:t xml:space="preserve">-РЕМ ПРОД-2027-ДГК</w:t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</w:p>
          <w:p>
            <w:pPr>
              <w:pStyle w:val="1116"/>
              <w:rPr>
                <w:i/>
                <w:iCs/>
                <w:shd w:val="clear" w:color="auto" w:fill="ffff99"/>
              </w:rPr>
            </w:pP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</w:rPr>
              <w:t xml:space="preserve">ОКПД2: 27.90.12.120 Поставка вводов высоковольтных  для АО «ДГК» </w:t>
            </w:r>
            <w:r>
              <w:rPr>
                <w:b/>
                <w:bCs/>
              </w:rPr>
              <w:t xml:space="preserve">Приморский край.</w:t>
            </w:r>
            <w:r>
              <w:rPr>
                <w:i/>
                <w:iCs/>
                <w:shd w:val="clear" w:color="auto" w:fill="ffff99"/>
              </w:rPr>
            </w:r>
            <w:r>
              <w:rPr>
                <w:i/>
                <w:iCs/>
                <w:shd w:val="clear" w:color="auto" w:fill="ffff9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(Приложении № 1)</w:t>
              </w:r>
            </w:hyperlink>
            <w:r>
              <w:t xml:space="preserve">, </w:t>
            </w:r>
            <w:r>
              <w:t xml:space="preserve">в</w:t>
            </w:r>
            <w:r>
              <w:t xml:space="preserve"> </w:t>
            </w:r>
            <w:r>
              <w:t xml:space="preserve">части требований, обусловленных законодательством о национальном режиме дополнительно в Структуре НМЦ (в составе Коммерческого предложения (форма</w:t>
            </w:r>
            <w:r>
              <w:t xml:space="preserve"> </w:t>
            </w:r>
            <w:r>
              <w:t xml:space="preserve">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ind w:left="40"/>
              <w:spacing w:before="0"/>
            </w:pPr>
            <w:r>
              <w:t xml:space="preserve">Электронная торговая площадка: </w:t>
            </w:r>
            <w:hyperlink r:id="rId14" w:tooltip="https://msp.roseltorg.ru" w:history="1">
              <w:r>
                <w:rPr>
                  <w:rStyle w:val="1126"/>
                </w:rPr>
                <w:t xml:space="preserve">https://corp.roseltorg.ru</w:t>
              </w:r>
            </w:hyperlink>
            <w:r/>
            <w:r/>
          </w:p>
          <w:p>
            <w:pPr>
              <w:pStyle w:val="1116"/>
            </w:pPr>
            <w:r>
              <w:t xml:space="preserve">Регламент ЭП, в соответствии с которым </w:t>
            </w:r>
            <w:r>
              <w:t xml:space="preserve">проводится закупка, размещен по адресу:</w:t>
            </w:r>
            <w:r>
              <w:t xml:space="preserve"> </w:t>
            </w:r>
            <w:hyperlink r:id="rId15" w:tooltip="http://www.roseltorg.ru/knowledge_db/docs/documents" w:history="1">
              <w:r>
                <w:rPr>
                  <w:rStyle w:val="1126"/>
                  <w:highlight w:val="white"/>
                </w:rPr>
                <w:t xml:space="preserve">www.roseltorg.ru/knowledge_db/docs/documents</w:t>
              </w:r>
              <w:r>
                <w:rPr>
                  <w:rStyle w:val="1126"/>
                  <w:highlight w:val="none"/>
                </w:rPr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</w:t>
            </w:r>
            <w:r>
              <w:t xml:space="preserve">е</w:t>
            </w:r>
            <w:r>
              <w:t xml:space="preserve">ся индивидуальными предпринимателями и применяющи</w:t>
            </w:r>
            <w:r>
              <w:t xml:space="preserve">е</w:t>
            </w:r>
            <w:r>
              <w:t xml:space="preserve">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keepNext/>
            </w:pPr>
            <w:r>
              <w:t xml:space="preserve">Наименование (полное): </w:t>
            </w: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</w:t>
            </w:r>
            <w:r/>
          </w:p>
          <w:p>
            <w:pPr>
              <w:pStyle w:val="1116"/>
              <w:keepNext/>
            </w:pPr>
            <w:r>
              <w:t xml:space="preserve">Наименование (сокращенное): </w:t>
            </w:r>
            <w:r>
              <w:rPr>
                <w:b w:val="0"/>
                <w:sz w:val="26"/>
                <w:szCs w:val="26"/>
              </w:rPr>
              <w:t xml:space="preserve">АО «ДГК»</w:t>
            </w:r>
            <w:r/>
          </w:p>
          <w:p>
            <w:pPr>
              <w:pStyle w:val="1116"/>
              <w:keepNext/>
            </w:pPr>
            <w:r>
              <w:t xml:space="preserve">Место нахождения: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>
              <w:rPr>
                <w:b w:val="0"/>
                <w:bCs w:val="0"/>
                <w:sz w:val="26"/>
                <w:szCs w:val="26"/>
              </w:rPr>
            </w:r>
            <w:r/>
          </w:p>
          <w:p>
            <w:pPr>
              <w:pStyle w:val="1116"/>
              <w:keepNext/>
            </w:pPr>
            <w:r>
              <w:t xml:space="preserve">Почтовый адрес: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/>
          </w:p>
          <w:p>
            <w:pPr>
              <w:pStyle w:val="1116"/>
              <w:keepNext/>
            </w:pPr>
            <w:r>
              <w:t xml:space="preserve">Адрес электронной почты: </w:t>
            </w:r>
            <w:r>
              <w:rPr>
                <w:b w:val="0"/>
                <w:sz w:val="26"/>
                <w:szCs w:val="26"/>
              </w:rPr>
            </w:r>
            <w:hyperlink r:id="rId16" w:tooltip="mailto:dgk@dgk.ru" w:history="1">
              <w:r>
                <w:rPr>
                  <w:rStyle w:val="1126"/>
                  <w:b w:val="0"/>
                  <w:sz w:val="26"/>
                  <w:szCs w:val="26"/>
                </w:rPr>
                <w:t xml:space="preserve">dgk@dgk.ru</w:t>
              </w:r>
            </w:hyperlink>
            <w:r/>
            <w:r/>
          </w:p>
          <w:p>
            <w:pPr>
              <w:pStyle w:val="1116"/>
              <w:keepNext/>
            </w:pPr>
            <w:r>
              <w:t xml:space="preserve">Контактный телефон: </w:t>
            </w:r>
            <w:r>
              <w:rPr>
                <w:b w:val="0"/>
                <w:sz w:val="26"/>
                <w:szCs w:val="26"/>
              </w:rPr>
              <w:t xml:space="preserve">(4212) 26-43-63</w:t>
            </w:r>
            <w:r>
              <w:rPr>
                <w:rStyle w:val="1121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keepNext/>
            </w:pPr>
            <w:r>
              <w:t xml:space="preserve">Наименование (полное): </w:t>
            </w: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</w:t>
            </w:r>
            <w:r/>
          </w:p>
          <w:p>
            <w:pPr>
              <w:pStyle w:val="1116"/>
              <w:keepNext/>
            </w:pPr>
            <w:r>
              <w:t xml:space="preserve">Наименование (сокращенное): </w:t>
            </w:r>
            <w:r>
              <w:rPr>
                <w:b w:val="0"/>
                <w:sz w:val="26"/>
                <w:szCs w:val="26"/>
              </w:rPr>
              <w:t xml:space="preserve">АО «ДГК»</w:t>
            </w:r>
            <w:r/>
          </w:p>
          <w:p>
            <w:pPr>
              <w:pStyle w:val="1116"/>
              <w:keepNext/>
            </w:pPr>
            <w:r>
              <w:t xml:space="preserve">Место нахождения: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/>
          </w:p>
          <w:p>
            <w:pPr>
              <w:pStyle w:val="1116"/>
              <w:keepNext/>
            </w:pPr>
            <w:r>
              <w:t xml:space="preserve">Почтовый адрес: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/>
          </w:p>
          <w:p>
            <w:pPr>
              <w:pStyle w:val="1116"/>
              <w:keepNext/>
            </w:pPr>
            <w:r>
              <w:t xml:space="preserve">Адрес электронной почты: </w:t>
            </w:r>
            <w:r>
              <w:rPr>
                <w:b w:val="0"/>
                <w:sz w:val="26"/>
                <w:szCs w:val="26"/>
              </w:rPr>
            </w:r>
            <w:hyperlink r:id="rId17" w:tooltip="mailto:dgk@dgk.ru" w:history="1">
              <w:r>
                <w:rPr>
                  <w:rStyle w:val="1126"/>
                  <w:b w:val="0"/>
                  <w:sz w:val="26"/>
                  <w:szCs w:val="26"/>
                </w:rPr>
              </w:r>
              <w:r>
                <w:rPr>
                  <w:rStyle w:val="1126"/>
                  <w:b w:val="0"/>
                  <w:sz w:val="26"/>
                  <w:szCs w:val="26"/>
                </w:rPr>
                <w:t xml:space="preserve">sorokoletova-as@dgk.ru</w:t>
              </w:r>
              <w:r>
                <w:rPr>
                  <w:rStyle w:val="1126"/>
                  <w:b w:val="0"/>
                  <w:sz w:val="26"/>
                  <w:szCs w:val="26"/>
                </w:rPr>
              </w:r>
            </w:hyperlink>
            <w:r/>
            <w:r/>
          </w:p>
          <w:p>
            <w:pPr>
              <w:pStyle w:val="1116"/>
            </w:pPr>
            <w:r>
              <w:t xml:space="preserve">Контактный телефон: </w:t>
            </w:r>
            <w:r>
              <w:rPr>
                <w:b w:val="0"/>
                <w:sz w:val="26"/>
                <w:szCs w:val="26"/>
              </w:rPr>
              <w:t xml:space="preserve">(4212) 26-43-73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Представитель Организатора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keepNext/>
            </w:pPr>
            <w:r>
              <w:t xml:space="preserve">Контактное лицо (Ф.И.О.):</w:t>
            </w:r>
            <w:r/>
          </w:p>
          <w:p>
            <w:pPr>
              <w:pStyle w:val="1116"/>
            </w:pPr>
            <w:r>
              <w:rPr>
                <w:b w:val="0"/>
                <w:sz w:val="26"/>
                <w:szCs w:val="26"/>
              </w:rPr>
              <w:t xml:space="preserve">Сороколетова Анна Сергеевна</w:t>
            </w:r>
            <w:r/>
          </w:p>
          <w:p>
            <w:pPr>
              <w:pStyle w:val="1116"/>
              <w:keepNext/>
            </w:pPr>
            <w:r>
              <w:t xml:space="preserve">Адрес электронной почты: </w:t>
            </w:r>
            <w:hyperlink r:id="rId18" w:tooltip="mailto:fedyasheva-ig@dgk.ru" w:history="1">
              <w:r>
                <w:rPr>
                  <w:rStyle w:val="1126"/>
                </w:rPr>
                <w:t xml:space="preserve">sorokoletova-as@dgk.ru</w:t>
              </w:r>
            </w:hyperlink>
            <w:r/>
            <w:r/>
          </w:p>
          <w:p>
            <w:pPr>
              <w:pStyle w:val="1116"/>
              <w:keepNext/>
            </w:pPr>
            <w:r>
              <w:t xml:space="preserve">Контактный телефон: </w:t>
            </w:r>
            <w:r>
              <w:rPr>
                <w:b w:val="0"/>
                <w:sz w:val="26"/>
                <w:szCs w:val="26"/>
              </w:rPr>
              <w:t xml:space="preserve">(4212) 26-45-68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«27»</w:t>
            </w:r>
            <w:r>
              <w:t xml:space="preserve"> августа</w:t>
            </w:r>
            <w:r>
              <w:t xml:space="preserve">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НМЦ составляет </w:t>
            </w:r>
            <w:r>
              <w:rPr>
                <w:b/>
                <w:bCs/>
              </w:rPr>
              <w:t xml:space="preserve">24 813 400,00</w:t>
            </w:r>
            <w:r>
              <w:t xml:space="preserve"> </w:t>
            </w:r>
            <w:r>
              <w:t xml:space="preserve">руб., без учета НДС.</w:t>
            </w:r>
            <w:r/>
          </w:p>
          <w:p>
            <w:pPr>
              <w:pStyle w:val="1116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40"/>
                </w:rPr>
                <w:t xml:space="preserve">Приложени</w:t>
              </w:r>
              <w:r>
                <w:rPr>
                  <w:rStyle w:val="1140"/>
                </w:rPr>
                <w:t xml:space="preserve">и</w:t>
              </w:r>
              <w:r>
                <w:rPr>
                  <w:rStyle w:val="1140"/>
                </w:rPr>
                <w:t xml:space="preserve"> №</w:t>
              </w:r>
              <w:r>
                <w:rPr>
                  <w:rStyle w:val="1140"/>
                </w:rPr>
                <w:t xml:space="preserve"> </w:t>
              </w:r>
              <w:r>
                <w:rPr>
                  <w:rStyle w:val="1140"/>
                </w:rPr>
                <w:t xml:space="preserve">9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Шаг аукциона: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0,5% – 5,0% от НМЦ, что составляет:</w:t>
            </w:r>
            <w:r/>
          </w:p>
          <w:p>
            <w:pPr>
              <w:pStyle w:val="1116"/>
            </w:pPr>
            <w:r>
              <w:t xml:space="preserve">124 067,00 руб. – 1 240 670,00 руб., без учета НДС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Требуется.</w:t>
            </w:r>
            <w:r/>
          </w:p>
          <w:p>
            <w:pPr>
              <w:pStyle w:val="1116"/>
            </w:pPr>
            <w:r>
              <w:t xml:space="preserve">Размер обеспечения заявок:</w:t>
            </w:r>
            <w:r/>
          </w:p>
          <w:p>
            <w:pPr>
              <w:pStyle w:val="1116"/>
            </w:pPr>
            <w:r>
              <w:t xml:space="preserve">249 065</w:t>
            </w:r>
            <w:r>
              <w:t xml:space="preserve">, 25 (двести сорок девять тысяч шестьдесят пять</w:t>
            </w:r>
            <w:r>
              <w:t xml:space="preserve">) рублей 25  копеек, НДС не облагается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16"/>
              <w:ind w:left="0" w:firstLine="0"/>
            </w:pPr>
            <w:r>
              <w:t xml:space="preserve">-   в</w:t>
            </w:r>
            <w:r>
              <w:t xml:space="preserve">несение денежных средств на специальный банковский счет, открытый Участником в банке, включенном в перечень, 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16"/>
              <w:ind w:left="0" w:firstLine="0"/>
            </w:pPr>
            <w:r>
              <w:t xml:space="preserve">- предоставление независимой гарантии</w:t>
            </w:r>
            <w:r>
              <w:t xml:space="preserve">, составленной с учетом требований подраздела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6"/>
              <w:rPr>
                <w:rStyle w:val="1121"/>
                <w:i w:val="0"/>
                <w:iCs w:val="0"/>
                <w:shd w:val="clear" w:color="auto" w:fill="auto"/>
              </w:rPr>
            </w:pP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21"/>
                <w:i w:val="0"/>
                <w:iCs w:val="0"/>
                <w:shd w:val="clear" w:color="auto" w:fill="auto"/>
              </w:rPr>
            </w:r>
            <w:r>
              <w:rPr>
                <w:rStyle w:val="1121"/>
                <w:i w:val="0"/>
                <w:iCs w:val="0"/>
                <w:shd w:val="clear" w:color="auto" w:fill="auto"/>
              </w:rPr>
            </w:r>
          </w:p>
          <w:p>
            <w:pPr>
              <w:pStyle w:val="1116"/>
              <w:rPr>
                <w:rStyle w:val="1121"/>
              </w:rPr>
            </w:pP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21"/>
              </w:rPr>
            </w:r>
            <w:r>
              <w:rPr>
                <w:rStyle w:val="1121"/>
              </w:rPr>
            </w:r>
          </w:p>
          <w:p>
            <w:pPr>
              <w:pStyle w:val="1116"/>
              <w:ind w:left="0" w:right="0" w:firstLine="0"/>
              <w:spacing w:before="0" w:beforeAutospacing="0" w:after="0" w:afterAutospacing="0"/>
              <w:suppressLineNumbers w:val="0"/>
            </w:pPr>
            <w:r>
              <w:rPr>
                <w:u w:val="single"/>
              </w:rPr>
              <w:t xml:space="preserve">Наименование получателя: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АО «Дальневосточная генерирующая компания»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ИНН 1434031363 КПП 997650001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Р/с 40702810270000008818 в Дальневосточном Банке ПАО «Сбербанк России» г. Хабаровск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К/с 30101810600000000608  </w:t>
            </w:r>
            <w:r>
              <w:t xml:space="preserve">БИК 040813608</w:t>
            </w:r>
            <w:r/>
          </w:p>
          <w:p>
            <w:pPr>
              <w:pStyle w:val="1116"/>
              <w:rPr>
                <w:b/>
                <w:bCs/>
              </w:rPr>
            </w:pPr>
            <w:r>
              <w:rPr>
                <w:rStyle w:val="1121"/>
                <w:b/>
                <w:bCs/>
                <w:i w:val="0"/>
                <w:iCs w:val="0"/>
                <w:shd w:val="clear" w:color="auto" w:fill="auto"/>
              </w:rPr>
              <w:t xml:space="preserve">Внимание!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ператора ЭП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продукции, </w:t>
            </w:r>
            <w:r>
              <w:t xml:space="preserve">указанные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</w:t>
              </w:r>
              <w:r>
                <w:rPr>
                  <w:rStyle w:val="1140"/>
                </w:rPr>
                <w:t xml:space="preserve">я</w:t>
              </w:r>
              <w:r>
                <w:rPr>
                  <w:rStyle w:val="1140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</w:t>
            </w:r>
            <w:r>
              <w:t xml:space="preserve">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предложения</w:t>
            </w:r>
            <w:r>
              <w:t xml:space="preserve"> (форма </w:t>
            </w:r>
            <w:r>
              <w:t xml:space="preserve">4</w:t>
            </w:r>
            <w:r>
              <w:t xml:space="preserve">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</w:t>
              </w:r>
              <w:r>
                <w:rPr>
                  <w:rStyle w:val="1140"/>
                </w:rPr>
                <w:t xml:space="preserve">4</w:t>
              </w:r>
            </w:hyperlink>
            <w:r>
              <w:t xml:space="preserve">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rPr>
                <w:b/>
                <w:bCs/>
              </w:rPr>
            </w:pPr>
            <w:r>
              <w:rPr>
                <w:b/>
                <w:bCs/>
              </w:rPr>
              <w:t xml:space="preserve">Национальный режим не предоставляется.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16"/>
            </w:pPr>
            <w:r>
              <w:rPr>
                <w:b/>
                <w:bCs/>
              </w:rPr>
              <w:t xml:space="preserve">Установлен режим преимущества закупки иностранной продукции (</w:t>
            </w:r>
            <w:r>
              <w:rPr>
                <w:b/>
                <w:bCs/>
              </w:rPr>
              <w:t xml:space="preserve">или ее части</w:t>
            </w:r>
            <w:r>
              <w:rPr>
                <w:b/>
                <w:bCs/>
              </w:rPr>
              <w:t xml:space="preserve">).</w:t>
            </w:r>
            <w:r/>
          </w:p>
          <w:p>
            <w:pPr>
              <w:pStyle w:val="1116"/>
            </w:pPr>
            <w:r>
              <w:t xml:space="preserve">Подробнее в отношении каждой позиции закупаемой продукции указано в Структуре НМЦ (в составе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Заявка должна состоять из двух частей</w:t>
            </w:r>
            <w:r>
              <w:t xml:space="preserve">. Порядок подачи </w:t>
            </w:r>
            <w:r>
              <w:t xml:space="preserve">ценового предложения</w:t>
            </w:r>
            <w:r>
              <w:t xml:space="preserve">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Дата начала подачи заявок:</w:t>
            </w:r>
            <w:r/>
          </w:p>
          <w:p>
            <w:pPr>
              <w:pStyle w:val="1116"/>
            </w:pPr>
            <w:r>
              <w:t xml:space="preserve">«27»</w:t>
            </w:r>
            <w:r>
              <w:t xml:space="preserve"> августа</w:t>
            </w:r>
            <w:r>
              <w:t xml:space="preserve"> 2026 г.</w:t>
            </w:r>
            <w:r/>
          </w:p>
          <w:p>
            <w:pPr>
              <w:pStyle w:val="1116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16"/>
            </w:pPr>
            <w:r>
              <w:t xml:space="preserve">«07»</w:t>
            </w:r>
            <w:r>
              <w:t xml:space="preserve"> сентября</w:t>
            </w:r>
            <w:r>
              <w:t xml:space="preserve"> 2026 г. в 16 ч. 00 мин.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16"/>
            </w:pPr>
            <w:r>
              <w:t xml:space="preserve">«07» сентября 2026 г. в 16 ч. 00 мин.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  <w:p>
            <w:pPr>
              <w:pStyle w:val="1116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«18» сентября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и время</w:t>
            </w:r>
            <w:r>
              <w:br/>
              <w:t xml:space="preserve">проведения аукциона: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«21» сентября 2026 г. в 16 ч. 00 мин.</w:t>
            </w:r>
            <w:r>
              <w:t xml:space="preserve"> (если иное время не установлено Оператором ЭП в автоматическом режиме)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в адрес Организатора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</w:t>
            </w:r>
            <w:r>
              <w:t xml:space="preserve">окончания процедуры аукциона (подачи Участниками ценовых предложений)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«30» сентября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«06</w:t>
            </w:r>
            <w:r>
              <w:t xml:space="preserve">» октября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предоставляется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Один победитель.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Канцелярия АО «ДГК»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Почтовый адрес: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680000 г. Хабаровск ул. Фрунзе, 49,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тел. (4212) 26-42-43,  (4212) 26-43-63,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/>
                <w:bCs w:val="0"/>
                <w:i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6"/>
              </w:rPr>
              <w:t xml:space="preserve">контактное лицо указать:</w:t>
            </w:r>
            <w:r>
              <w:rPr>
                <w:b/>
                <w:bCs w:val="0"/>
                <w:i w:val="0"/>
              </w:rPr>
            </w:r>
            <w:r>
              <w:rPr>
                <w:b/>
                <w:bCs w:val="0"/>
                <w:i w:val="0"/>
              </w:rPr>
            </w:r>
          </w:p>
          <w:p>
            <w:pPr>
              <w:pStyle w:val="1116"/>
              <w:keepNext/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6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6"/>
              </w:rPr>
              <w:t xml:space="preserve">для Зюзина Сергея Сергеевича»</w:t>
            </w:r>
            <w:r>
              <w:rPr>
                <w:highlight w:val="none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Отсутствуют.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Требуется</w:t>
            </w:r>
            <w:r>
              <w:t xml:space="preserve">.</w:t>
            </w:r>
            <w:r/>
          </w:p>
          <w:p>
            <w:pPr>
              <w:pStyle w:val="1116"/>
              <w:rPr>
                <w:szCs w:val="26"/>
              </w:rPr>
            </w:pPr>
            <w:r>
              <w:t xml:space="preserve">Обязательства по договору, которые должны быть </w:t>
            </w:r>
            <w:r>
              <w:rPr>
                <w:szCs w:val="26"/>
              </w:rPr>
              <w:t xml:space="preserve">обеспечены</w:t>
            </w:r>
            <w:r>
              <w:rPr>
                <w:szCs w:val="26"/>
              </w:rPr>
              <w:t xml:space="preserve">: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6"/>
              <w:rPr>
                <w:szCs w:val="26"/>
              </w:rPr>
            </w:pPr>
            <w:r>
              <w:rPr>
                <w:szCs w:val="26"/>
              </w:rPr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6"/>
              <w:numPr>
                <w:ilvl w:val="0"/>
                <w:numId w:val="14"/>
              </w:numPr>
              <w:ind w:left="284" w:hanging="284"/>
              <w:keepNext/>
              <w:rPr>
                <w:szCs w:val="26"/>
              </w:rPr>
            </w:pPr>
            <w:r/>
            <w:bookmarkStart w:id="34" w:name="_Ref131405087"/>
            <w:r>
              <w:rPr>
                <w:szCs w:val="26"/>
              </w:rPr>
              <w:t xml:space="preserve">надлежащее исполнение обязательств по</w:t>
            </w:r>
            <w:r>
              <w:rPr>
                <w:szCs w:val="26"/>
              </w:rPr>
              <w:t xml:space="preserve"> </w:t>
            </w:r>
            <w:r>
              <w:rPr>
                <w:szCs w:val="26"/>
              </w:rPr>
              <w:t xml:space="preserve">договору:</w:t>
            </w:r>
            <w:bookmarkEnd w:id="34"/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6"/>
              <w:numPr>
                <w:ilvl w:val="0"/>
                <w:numId w:val="2"/>
              </w:numPr>
              <w:ind w:left="568" w:hanging="284"/>
            </w:pPr>
            <w:r>
              <w:t xml:space="preserve">размер обеспечения:</w:t>
            </w:r>
            <w:r>
              <w:t xml:space="preserve"> </w:t>
            </w:r>
            <w:r>
              <w:rPr>
                <w:color w:val="000000"/>
              </w:rPr>
              <w:t xml:space="preserve">5 (пять) </w:t>
            </w:r>
            <w:r>
              <w:rPr>
                <w:color w:val="000000"/>
              </w:rPr>
              <w:t xml:space="preserve">процентов</w:t>
            </w:r>
            <w:r>
              <w:rPr>
                <w:color w:val="000000"/>
              </w:rPr>
              <w:t xml:space="preserve"> </w:t>
            </w:r>
            <w:r>
              <w:rPr>
                <w:iCs/>
              </w:rPr>
              <w:t xml:space="preserve">(НДС не облагается) от суммы Договора, в соответствии с официально размещённым итоговым протоколом по результатам закупки, с учетом результатов преддоговорных переговоров (в случае проведения таковых)</w:t>
            </w:r>
            <w:r>
              <w:t xml:space="preserve">;</w:t>
            </w:r>
            <w:r>
              <w:rPr>
                <w:rStyle w:val="1121"/>
              </w:rPr>
            </w:r>
            <w:r/>
          </w:p>
          <w:p>
            <w:pPr>
              <w:pStyle w:val="1116"/>
              <w:numPr>
                <w:ilvl w:val="0"/>
                <w:numId w:val="2"/>
              </w:numPr>
              <w:ind w:left="568" w:hanging="284"/>
            </w:pPr>
            <w:r>
              <w:t xml:space="preserve">валюта обеспечения: </w:t>
            </w:r>
            <w:r>
              <w:t xml:space="preserve">российский рубль</w:t>
            </w:r>
            <w:r>
              <w:t xml:space="preserve">;</w:t>
            </w:r>
            <w:r/>
          </w:p>
          <w:p>
            <w:pPr>
              <w:pStyle w:val="1116"/>
              <w:rPr>
                <w:color w:val="ff0000"/>
              </w:rPr>
            </w:pPr>
            <w:r>
              <w:t xml:space="preserve">Иные требования к обеспечению исполнения Договора </w:t>
            </w:r>
            <w:r>
              <w:rPr>
                <w:color w:val="auto"/>
              </w:rPr>
              <w:t xml:space="preserve">приведены в </w:t>
            </w:r>
            <w:hyperlink w:tooltip="#Прил02_ПроектДоговора" w:anchor="Прил02_ПроектДоговора" w:history="1">
              <w:r>
                <w:rPr>
                  <w:rStyle w:val="1140"/>
                  <w:color w:val="auto"/>
                </w:rPr>
                <w:t xml:space="preserve">Приложении № 2</w:t>
              </w:r>
            </w:hyperlink>
            <w:r>
              <w:rPr>
                <w:color w:val="auto"/>
              </w:rPr>
              <w:t xml:space="preserve">.</w:t>
            </w:r>
            <w:r>
              <w:rPr>
                <w:color w:val="ff0000"/>
              </w:rPr>
            </w:r>
            <w:r>
              <w:rPr>
                <w:color w:val="ff0000"/>
              </w:rPr>
            </w:r>
          </w:p>
        </w:tc>
      </w:tr>
    </w:tbl>
    <w:p>
      <w:pPr>
        <w:pStyle w:val="1110"/>
      </w:pPr>
      <w:r/>
      <w:bookmarkStart w:id="406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406"/>
      <w:r/>
      <w:r/>
    </w:p>
    <w:p>
      <w:pPr>
        <w:pStyle w:val="1111"/>
      </w:pPr>
      <w:r/>
      <w:bookmarkStart w:id="407" w:name="_Toc7"/>
      <w:r>
        <w:t xml:space="preserve">Общие сведения о закупке</w:t>
      </w:r>
      <w:bookmarkEnd w:id="407"/>
      <w:r/>
      <w:r/>
    </w:p>
    <w:p>
      <w:pPr>
        <w:pStyle w:val="1112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12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12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Приложении № 2</w:t>
        </w:r>
      </w:hyperlink>
      <w:r>
        <w:t xml:space="preserve">.</w:t>
      </w:r>
      <w:r>
        <w:t xml:space="preserve"> </w:t>
      </w: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что национальный режим не предоставляется, то требования к закупаемой продукции (в части страны происхождения товара) также могут быть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)).</w:t>
      </w:r>
      <w:r/>
    </w:p>
    <w:p>
      <w:pPr>
        <w:pStyle w:val="1112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40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5</w:t>
        </w:r>
      </w:hyperlink>
      <w:r>
        <w:t xml:space="preserve">.</w:t>
      </w:r>
      <w:r/>
    </w:p>
    <w:p>
      <w:pPr>
        <w:pStyle w:val="1111"/>
      </w:pPr>
      <w:r/>
      <w:bookmarkStart w:id="408" w:name="_Toc8"/>
      <w:r>
        <w:t xml:space="preserve">Правовой статус документов</w:t>
      </w:r>
      <w:bookmarkEnd w:id="408"/>
      <w:r/>
      <w:r/>
    </w:p>
    <w:p>
      <w:pPr>
        <w:pStyle w:val="1112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12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12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5.2.9</w:t>
      </w:r>
      <w:r>
        <w:fldChar w:fldCharType="end"/>
      </w:r>
      <w:bookmarkEnd w:id="40"/>
      <w:r>
        <w:t xml:space="preserve">.</w:t>
      </w:r>
      <w:r/>
    </w:p>
    <w:p>
      <w:pPr>
        <w:pStyle w:val="1112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12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12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12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12"/>
      </w:pPr>
      <w:r>
        <w:t xml:space="preserve">Любые уведомления, письма, предложения, иная переписка и действия председателя, за</w:t>
      </w:r>
      <w:r>
        <w:t xml:space="preserve">местителя председателя, членов, секретаря Закупочной 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11"/>
      </w:pPr>
      <w:r/>
      <w:bookmarkStart w:id="409" w:name="_Toc9"/>
      <w:r/>
      <w:bookmarkStart w:id="41" w:name="_Ref125363536"/>
      <w:r>
        <w:t xml:space="preserve">Обжалование</w:t>
      </w:r>
      <w:bookmarkEnd w:id="41"/>
      <w:r/>
      <w:bookmarkEnd w:id="409"/>
      <w:r/>
      <w:r/>
    </w:p>
    <w:p>
      <w:pPr>
        <w:pStyle w:val="1112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12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12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13"/>
      </w:pPr>
      <w:r>
        <w:t xml:space="preserve">обязать</w:t>
      </w:r>
      <w:r>
        <w:t xml:space="preserve"> Заказчика, Организатора,</w:t>
      </w:r>
      <w:r>
        <w:t xml:space="preserve"> 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13"/>
      </w:pPr>
      <w:r>
        <w:t xml:space="preserve">признать заявление Участника необоснованным.</w:t>
      </w:r>
      <w:r/>
    </w:p>
    <w:p>
      <w:pPr>
        <w:pStyle w:val="1112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12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13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13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</w:t>
      </w:r>
      <w:bookmarkStart w:id="43" w:name="_Hlk219296876"/>
      <w:r>
        <w:t xml:space="preserve">Красноярского края</w:t>
      </w:r>
      <w:bookmarkEnd w:id="43"/>
      <w:r>
        <w:t xml:space="preserve">.</w:t>
      </w:r>
      <w:r/>
    </w:p>
    <w:p>
      <w:pPr>
        <w:pStyle w:val="1116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11"/>
      </w:pPr>
      <w:r/>
      <w:bookmarkStart w:id="410" w:name="_Toc10"/>
      <w:r>
        <w:t xml:space="preserve">Особые положения при проведении закупки с использованием ЭП</w:t>
      </w:r>
      <w:bookmarkEnd w:id="410"/>
      <w:r/>
      <w:r/>
    </w:p>
    <w:p>
      <w:pPr>
        <w:pStyle w:val="1112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12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12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12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12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11"/>
      </w:pPr>
      <w:r/>
      <w:bookmarkStart w:id="411" w:name="_Toc11"/>
      <w:r>
        <w:t xml:space="preserve">Прочие положения</w:t>
      </w:r>
      <w:bookmarkEnd w:id="411"/>
      <w:r/>
      <w:r/>
    </w:p>
    <w:p>
      <w:pPr>
        <w:pStyle w:val="1112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12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12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10"/>
      </w:pPr>
      <w:r/>
      <w:bookmarkStart w:id="412" w:name="_Toc12"/>
      <w:r/>
      <w:bookmarkStart w:id="46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6"/>
      <w:r/>
      <w:bookmarkEnd w:id="412"/>
      <w:r/>
      <w:r/>
    </w:p>
    <w:p>
      <w:pPr>
        <w:pStyle w:val="1111"/>
      </w:pPr>
      <w:r/>
      <w:bookmarkStart w:id="413" w:name="_Toc13"/>
      <w:r/>
      <w:bookmarkStart w:id="48" w:name="_Ref127524530"/>
      <w:r>
        <w:t xml:space="preserve">Общие требования к Участникам</w:t>
      </w:r>
      <w:bookmarkEnd w:id="48"/>
      <w:r/>
      <w:bookmarkEnd w:id="413"/>
      <w:r/>
      <w:r/>
    </w:p>
    <w:p>
      <w:pPr>
        <w:pStyle w:val="1112"/>
      </w:pPr>
      <w:r/>
      <w:bookmarkStart w:id="50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</w:t>
      </w:r>
      <w:r>
        <w:t xml:space="preserve">сле индивидуальный предприниматель),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</w:t>
      </w:r>
      <w:r>
        <w:t xml:space="preserve">.</w:t>
      </w:r>
      <w:bookmarkEnd w:id="50"/>
      <w:r/>
      <w:r/>
    </w:p>
    <w:p>
      <w:pPr>
        <w:pStyle w:val="1112"/>
      </w:pPr>
      <w:r>
        <w:t xml:space="preserve">Однако, чтобы претендовать на победу в закупке Участник 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12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Проекта договора (Приложение № 2)</w:t>
        </w:r>
      </w:hyperlink>
      <w:r>
        <w:t xml:space="preserve">.</w:t>
      </w:r>
      <w:r>
        <w:t xml:space="preserve"> </w:t>
      </w: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что национальный режим не</w:t>
      </w:r>
      <w:r>
        <w:t xml:space="preserve"> </w:t>
      </w:r>
      <w:r>
        <w:t xml:space="preserve">предоставляется, то требования к Участникам (в части страны его регистрации) также могут быть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)).</w:t>
      </w:r>
      <w:r/>
    </w:p>
    <w:p>
      <w:pPr>
        <w:pStyle w:val="1112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Приложении № 3</w:t>
        </w:r>
      </w:hyperlink>
      <w:r>
        <w:t xml:space="preserve">:</w:t>
      </w:r>
      <w:r/>
    </w:p>
    <w:p>
      <w:pPr>
        <w:pStyle w:val="1113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13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 к Генеральным подрядчикам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/>
      <w:bookmarkStart w:id="51" w:name="_Ref125361969"/>
      <w:r/>
      <w:bookmarkStart w:id="52" w:name="_Ref125361976"/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Требованиях к Участникам (Приложение № 3)</w:t>
        </w:r>
      </w:hyperlink>
      <w:r>
        <w:t xml:space="preserve">, </w:t>
      </w:r>
      <w:bookmarkStart w:id="53" w:name="_Hlk132706049"/>
      <w:r>
        <w:t xml:space="preserve">если иное не установлено в Документации о закупке</w:t>
      </w:r>
      <w:bookmarkEnd w:id="53"/>
      <w:r>
        <w:t xml:space="preserve">.</w:t>
      </w:r>
      <w:r/>
    </w:p>
    <w:p>
      <w:pPr>
        <w:pStyle w:val="1111"/>
      </w:pPr>
      <w:r/>
      <w:bookmarkStart w:id="414" w:name="_Toc14"/>
      <w:r/>
      <w:bookmarkStart w:id="74" w:name="_Ref125361702"/>
      <w:r/>
      <w:bookmarkEnd w:id="51"/>
      <w:r/>
      <w:bookmarkEnd w:id="52"/>
      <w:r>
        <w:t xml:space="preserve">Генеральные подрядчики</w:t>
      </w:r>
      <w:bookmarkEnd w:id="74"/>
      <w:r/>
      <w:bookmarkEnd w:id="414"/>
      <w:r/>
      <w:r/>
    </w:p>
    <w:p>
      <w:pPr>
        <w:pStyle w:val="1112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</w:t>
      </w:r>
      <w:r>
        <w:t xml:space="preserve">о</w:t>
      </w:r>
      <w:r>
        <w:t xml:space="preserve"> </w:t>
      </w:r>
      <w:r>
        <w:t xml:space="preserve">рассмотрение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12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12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13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13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2"/>
        <w:keepNext/>
      </w:pPr>
      <w:r/>
      <w:bookmarkStart w:id="76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13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16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76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2"/>
      </w:pPr>
      <w:r/>
      <w:bookmarkStart w:id="77" w:name="_Ref125361799"/>
      <w:r>
        <w:t xml:space="preserve">Любое юридическое или физическое лицо (в том числе индивидуальный предприниматель) может являться субподрядчиком у произвольного числа Генер</w:t>
      </w:r>
      <w:r>
        <w:t xml:space="preserve">альных подрядчиков, а также имеет право самостоятельно принимать участие в закупке.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отклонены.</w:t>
      </w:r>
      <w:bookmarkEnd w:id="77"/>
      <w:r/>
      <w:r/>
    </w:p>
    <w:p>
      <w:pPr>
        <w:pStyle w:val="1112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о</w:t>
      </w:r>
      <w:r>
        <w:t xml:space="preserve"> рассмотрение </w:t>
      </w:r>
      <w:r>
        <w:t xml:space="preserve">заявок Участников с</w:t>
      </w:r>
      <w:r>
        <w:t xml:space="preserve"> </w:t>
      </w:r>
      <w:r>
        <w:t xml:space="preserve">учетом привлекаемых субподрядчиков</w:t>
      </w:r>
      <w:r>
        <w:t xml:space="preserve">, то при рассмотрении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 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12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15" w:name="_Toc15"/>
      <w:r/>
      <w:bookmarkStart w:id="78" w:name="_Ref125361211"/>
      <w:r/>
      <w:bookmarkStart w:id="79" w:name="_Ref125367098"/>
      <w:r/>
      <w:bookmarkStart w:id="80" w:name="_Ref125367107"/>
      <w:r/>
      <w:bookmarkStart w:id="81" w:name="_Ref125367974"/>
      <w:r>
        <w:t xml:space="preserve">Порядок проведения закупки</w:t>
      </w:r>
      <w:bookmarkEnd w:id="78"/>
      <w:r/>
      <w:bookmarkEnd w:id="79"/>
      <w:r/>
      <w:bookmarkEnd w:id="80"/>
      <w:r/>
      <w:bookmarkEnd w:id="81"/>
      <w:r/>
      <w:bookmarkEnd w:id="415"/>
      <w:r/>
      <w:r/>
    </w:p>
    <w:p>
      <w:pPr>
        <w:pStyle w:val="1111"/>
      </w:pPr>
      <w:r/>
      <w:bookmarkStart w:id="416" w:name="_Toc16"/>
      <w:r/>
      <w:bookmarkStart w:id="83" w:name="_Ref126141932"/>
      <w:r>
        <w:t xml:space="preserve">Общий порядок проведения закупки</w:t>
      </w:r>
      <w:bookmarkEnd w:id="83"/>
      <w:r/>
      <w:bookmarkEnd w:id="416"/>
      <w:r/>
      <w:r/>
    </w:p>
    <w:p>
      <w:pPr>
        <w:pStyle w:val="1112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37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</w:t>
            </w:r>
            <w:r>
              <w:rPr>
                <w:bCs/>
                <w:sz w:val="24"/>
                <w:szCs w:val="24"/>
              </w:rPr>
              <w:t xml:space="preserve">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</w:t>
            </w:r>
            <w:r>
              <w:rPr>
                <w:bCs/>
                <w:sz w:val="24"/>
                <w:szCs w:val="24"/>
              </w:rPr>
              <w:t xml:space="preserve"> или запрета</w:t>
            </w:r>
            <w:r>
              <w:rPr>
                <w:bCs/>
                <w:sz w:val="24"/>
                <w:szCs w:val="24"/>
              </w:rPr>
              <w:t xml:space="preserve"> в отношении работ, услуг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</w:t>
            </w:r>
            <w:r>
              <w:rPr>
                <w:bCs/>
                <w:sz w:val="24"/>
                <w:szCs w:val="24"/>
              </w:rPr>
              <w:t xml:space="preserve">о</w:t>
            </w:r>
            <w:r>
              <w:rPr>
                <w:bCs/>
                <w:sz w:val="24"/>
                <w:szCs w:val="24"/>
                <w:lang w:val="en-US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 (</w:t>
            </w:r>
            <w:r>
              <w:rPr>
                <w:bCs/>
                <w:sz w:val="24"/>
                <w:szCs w:val="24"/>
                <w:u w:val="single"/>
              </w:rPr>
              <w:t xml:space="preserve">предоставление национального режима / запрета, ограничения</w:t>
            </w:r>
            <w:r>
              <w:rPr>
                <w:bCs/>
                <w:sz w:val="24"/>
                <w:szCs w:val="24"/>
              </w:rPr>
              <w:t xml:space="preserve">) </w:t>
            </w:r>
            <w:r>
              <w:rPr>
                <w:bCs/>
                <w:sz w:val="24"/>
                <w:szCs w:val="24"/>
                <w:u w:val="single"/>
              </w:rPr>
              <w:t xml:space="preserve">в отношении товаров</w:t>
            </w:r>
            <w:r>
              <w:rPr>
                <w:bCs/>
                <w:sz w:val="24"/>
                <w:szCs w:val="24"/>
              </w:rPr>
              <w:t xml:space="preserve"> (подраздел</w:t>
            </w:r>
            <w:r>
              <w:rPr>
                <w:bCs/>
                <w:sz w:val="24"/>
                <w:szCs w:val="24"/>
                <w:lang w:val="en-US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color w:val="ff0000"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color w:val="ff0000"/>
                <w:sz w:val="24"/>
                <w:szCs w:val="24"/>
              </w:rPr>
              <w:t xml:space="preserve">Ô</w:t>
            </w:r>
            <w:r>
              <w:rPr>
                <w:bCs/>
                <w:color w:val="ff0000"/>
                <w:sz w:val="24"/>
                <w:szCs w:val="24"/>
              </w:rPr>
            </w:r>
            <w:r>
              <w:rPr>
                <w:bCs/>
                <w:color w:val="ff0000"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9129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Подведение итогов закупки</w:t>
            </w:r>
            <w:r>
              <w:rPr>
                <w:bCs/>
                <w:color w:val="auto"/>
                <w:sz w:val="24"/>
                <w:szCs w:val="24"/>
              </w:rPr>
              <w:br/>
            </w:r>
            <w:r>
              <w:rPr>
                <w:bCs/>
                <w:color w:val="auto"/>
                <w:sz w:val="24"/>
                <w:szCs w:val="24"/>
              </w:rPr>
              <w:t xml:space="preserve">(определение Победителя) (подраздел </w:t>
            </w:r>
            <w:r>
              <w:rPr>
                <w:bCs/>
                <w:color w:val="auto"/>
                <w:sz w:val="24"/>
                <w:szCs w:val="24"/>
              </w:rPr>
              <w:fldChar w:fldCharType="begin"/>
            </w:r>
            <w:r>
              <w:rPr>
                <w:bCs/>
                <w:color w:val="auto"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color w:val="auto"/>
                <w:sz w:val="24"/>
                <w:szCs w:val="24"/>
              </w:rPr>
              <w:fldChar w:fldCharType="separate"/>
            </w:r>
            <w:r>
              <w:rPr>
                <w:bCs/>
                <w:color w:val="auto"/>
                <w:sz w:val="24"/>
                <w:szCs w:val="24"/>
              </w:rPr>
              <w:t xml:space="preserve">4.18</w:t>
            </w:r>
            <w:r>
              <w:rPr>
                <w:bCs/>
                <w:color w:val="auto"/>
                <w:sz w:val="24"/>
                <w:szCs w:val="24"/>
              </w:rPr>
              <w:fldChar w:fldCharType="end"/>
            </w:r>
            <w:r>
              <w:rPr>
                <w:bCs/>
                <w:color w:val="auto"/>
                <w:sz w:val="24"/>
                <w:szCs w:val="24"/>
              </w:rPr>
              <w:t xml:space="preserve">)</w:t>
            </w:r>
            <w:r>
              <w:rPr>
                <w:bCs/>
                <w:color w:val="auto"/>
                <w:sz w:val="24"/>
                <w:szCs w:val="24"/>
              </w:rPr>
            </w:r>
            <w:r>
              <w:rPr>
                <w:bCs/>
                <w:color w:val="auto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16"/>
      </w:pPr>
      <w:r/>
      <w:bookmarkStart w:id="85" w:name="_Ref125362061"/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1"/>
      </w:pPr>
      <w:r/>
      <w:bookmarkStart w:id="417" w:name="_Toc17"/>
      <w:r/>
      <w:bookmarkStart w:id="86" w:name="_Ref130286532"/>
      <w:r>
        <w:t xml:space="preserve">Официальное размещение Извещения и Документации о закупке</w:t>
      </w:r>
      <w:bookmarkEnd w:id="85"/>
      <w:r/>
      <w:bookmarkEnd w:id="86"/>
      <w:r/>
      <w:bookmarkEnd w:id="417"/>
      <w:r/>
      <w:r/>
    </w:p>
    <w:p>
      <w:pPr>
        <w:pStyle w:val="1112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12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12"/>
      </w:pPr>
      <w:r/>
      <w:bookmarkStart w:id="88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88"/>
      <w:r/>
      <w:r/>
    </w:p>
    <w:p>
      <w:pPr>
        <w:pStyle w:val="1112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11"/>
      </w:pPr>
      <w:r/>
      <w:bookmarkStart w:id="418" w:name="_Toc18"/>
      <w:r/>
      <w:bookmarkStart w:id="89" w:name="_Ref130281199"/>
      <w:r/>
      <w:bookmarkStart w:id="90" w:name="_Ref130394681"/>
      <w:r>
        <w:t xml:space="preserve">Подготовка заявки</w:t>
      </w:r>
      <w:bookmarkEnd w:id="89"/>
      <w:r/>
      <w:bookmarkEnd w:id="90"/>
      <w:r/>
      <w:bookmarkEnd w:id="418"/>
      <w:r/>
      <w:r/>
    </w:p>
    <w:p>
      <w:pPr>
        <w:pStyle w:val="1112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12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12"/>
      </w:pPr>
      <w:r/>
      <w:bookmarkStart w:id="92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</w:t>
        </w:r>
        <w:r>
          <w:rPr>
            <w:rStyle w:val="1140"/>
          </w:rPr>
          <w:t xml:space="preserve">6</w:t>
        </w:r>
        <w:r>
          <w:rPr>
            <w:rStyle w:val="1140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.</w:t>
      </w:r>
      <w:r/>
    </w:p>
    <w:p>
      <w:pPr>
        <w:pStyle w:val="1112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93" w:name="_Hlk132886098"/>
      <w:r>
        <w:t xml:space="preserve">первую часть</w:t>
      </w:r>
      <w:r>
        <w:t xml:space="preserve"> и</w:t>
      </w:r>
      <w:r>
        <w:t xml:space="preserve"> вторую часть </w:t>
      </w:r>
      <w:bookmarkEnd w:id="93"/>
      <w:r>
        <w:t xml:space="preserve">в соответствии с перечнем документов, входящих в</w:t>
      </w:r>
      <w:r>
        <w:t xml:space="preserve"> 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12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предложении).</w:t>
      </w:r>
      <w:r/>
    </w:p>
    <w:p>
      <w:pPr>
        <w:pStyle w:val="1112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закупке).</w:t>
      </w:r>
      <w:r/>
    </w:p>
    <w:p>
      <w:pPr>
        <w:pStyle w:val="1112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12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12"/>
      </w:pPr>
      <w:r/>
      <w:bookmarkStart w:id="94" w:name="_Ref130394854"/>
      <w:r>
        <w:t xml:space="preserve">Участник имеет право подать только одну заявку. При этом не допускается подача заявки на часть лота по отдельным видам или объемам продукции. В случае нарушения этого требования (</w:t>
      </w:r>
      <w:r>
        <w:t xml:space="preserve">при получении заявки на часть лота и (или) </w:t>
      </w:r>
      <w:r>
        <w:t xml:space="preserve">при получении двух и более заявок от одного Участника в рамках одного лота) все поданные им заявки подлежат отклонению.</w:t>
      </w:r>
      <w:bookmarkEnd w:id="92"/>
      <w:r/>
      <w:bookmarkEnd w:id="94"/>
      <w:r/>
      <w:r/>
    </w:p>
    <w:p>
      <w:pPr>
        <w:pStyle w:val="1112"/>
      </w:pPr>
      <w:r/>
      <w:bookmarkStart w:id="95" w:name="_Ref125361260"/>
      <w:r/>
      <w:bookmarkStart w:id="96" w:name="_Ref125362071"/>
      <w:r/>
      <w:bookmarkStart w:id="97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12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12"/>
      </w:pPr>
      <w:r>
        <w:t xml:space="preserve">Все суммы денежных средств в документах, входящих в состав заявки</w:t>
      </w:r>
      <w:r>
        <w:t xml:space="preserve">, в том числе в ценовое предложение</w:t>
      </w:r>
      <w:r>
        <w:t xml:space="preserve">, должны быть выражены в российских рублях. Исключение составляют</w:t>
      </w:r>
      <w:r>
        <w:t xml:space="preserve">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</w:t>
      </w:r>
      <w:r>
        <w:t xml:space="preserve"> </w:t>
      </w:r>
      <w:r>
        <w:t xml:space="preserve">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12"/>
      </w:pPr>
      <w:r/>
      <w:bookmarkStart w:id="98" w:name="_Ref125370700"/>
      <w:r/>
      <w:bookmarkStart w:id="99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12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Проектом договора (Приложение № 2)</w:t>
        </w:r>
      </w:hyperlink>
      <w:r>
        <w:t xml:space="preserve">, а также сумму налогов</w:t>
      </w:r>
      <w:r>
        <w:t xml:space="preserve"> (</w:t>
      </w:r>
      <w:r>
        <w:rPr>
          <w:rFonts w:cs="Times New Roman"/>
        </w:rPr>
        <w:t xml:space="preserve">за исключением НДС, в случае его уплаты</w:t>
      </w:r>
      <w:r>
        <w:t xml:space="preserve">)</w:t>
      </w:r>
      <w:r>
        <w:t xml:space="preserve">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</w:t>
      </w:r>
      <w:r>
        <w:t xml:space="preserve">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98"/>
      <w:r/>
      <w:bookmarkEnd w:id="99"/>
      <w:r/>
      <w:r/>
    </w:p>
    <w:p>
      <w:pPr>
        <w:pStyle w:val="1112"/>
      </w:pPr>
      <w:r/>
      <w:bookmarkStart w:id="100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 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1)</w:t>
        </w:r>
      </w:hyperlink>
      <w:r>
        <w:t xml:space="preserve">.</w:t>
      </w:r>
      <w:bookmarkEnd w:id="100"/>
      <w:r/>
      <w:r/>
    </w:p>
    <w:p>
      <w:pPr>
        <w:pStyle w:val="1112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 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12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</w:t>
        </w:r>
        <w:r>
          <w:rPr>
            <w:rStyle w:val="1140"/>
          </w:rPr>
          <w:t xml:space="preserve">х</w:t>
        </w:r>
        <w:r>
          <w:rPr>
            <w:rStyle w:val="1140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12"/>
      </w:pPr>
      <w:r/>
      <w:bookmarkStart w:id="101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Техническими требованиями (Приложение № 1)</w:t>
        </w:r>
      </w:hyperlink>
      <w:r>
        <w:t xml:space="preserve">.</w:t>
      </w:r>
      <w:bookmarkEnd w:id="101"/>
      <w:r/>
      <w:r/>
    </w:p>
    <w:p>
      <w:pPr>
        <w:pStyle w:val="1112"/>
      </w:pPr>
      <w:r/>
      <w:bookmarkStart w:id="102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4.3.18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102"/>
      <w:r/>
      <w:r/>
    </w:p>
    <w:p>
      <w:pPr>
        <w:pStyle w:val="1112"/>
        <w:keepNext/>
      </w:pPr>
      <w:r/>
      <w:bookmarkStart w:id="103" w:name="_Ref125370398"/>
      <w:r/>
      <w:bookmarkStart w:id="104" w:name="_Ref125714384"/>
      <w:r>
        <w:t xml:space="preserve">При подготовке заявки необходимо также учитывать требования в отношении применения законодательства о национальном режиме (подраздел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</w:t>
      </w:r>
      <w:r/>
    </w:p>
    <w:p>
      <w:pPr>
        <w:pStyle w:val="1112"/>
        <w:keepNext/>
      </w:pPr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13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13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103"/>
      <w:r/>
      <w:bookmarkEnd w:id="104"/>
      <w:r/>
      <w:r/>
    </w:p>
    <w:p>
      <w:pPr>
        <w:pStyle w:val="1112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13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13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12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13"/>
      </w:pPr>
      <w:r>
        <w:t xml:space="preserve">документы заявки</w:t>
      </w:r>
      <w:r>
        <w:t xml:space="preserve"> могут</w:t>
      </w:r>
      <w:r>
        <w:t xml:space="preserve"> предоставлят</w:t>
      </w:r>
      <w:r>
        <w:t xml:space="preserve">ь</w:t>
      </w:r>
      <w:r>
        <w:t xml:space="preserve">ся</w:t>
      </w:r>
      <w:r>
        <w:t xml:space="preserve"> как</w:t>
      </w:r>
      <w:r>
        <w:t xml:space="preserve">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</w:t>
      </w:r>
      <w:r>
        <w:t xml:space="preserve">Portable Document Format (</w:t>
      </w:r>
      <w:r>
        <w:t xml:space="preserve">*.</w:t>
      </w:r>
      <w:r>
        <w:rPr>
          <w:lang w:val="en-US"/>
        </w:rPr>
        <w:t xml:space="preserve">pdf</w:t>
      </w:r>
      <w:r>
        <w:t xml:space="preserve">)</w:t>
      </w:r>
      <w:r>
        <w:t xml:space="preserve">)</w:t>
      </w:r>
      <w:r>
        <w:t xml:space="preserve">;</w:t>
      </w:r>
      <w:r>
        <w:t xml:space="preserve"> </w:t>
      </w:r>
      <w:r>
        <w:t xml:space="preserve">так и</w:t>
      </w:r>
      <w:r>
        <w:t xml:space="preserve"> </w:t>
      </w:r>
      <w:r>
        <w:t xml:space="preserve">в</w:t>
      </w:r>
      <w:r>
        <w:t xml:space="preserve"> 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 Письмо о подаче оферты, а также д</w:t>
      </w:r>
      <w:r>
        <w:t xml:space="preserve">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</w:t>
      </w:r>
      <w:r>
        <w:t xml:space="preserve">которые должны быть </w:t>
      </w:r>
      <w:r>
        <w:t xml:space="preserve">предоставл</w:t>
      </w:r>
      <w:r>
        <w:t xml:space="preserve">ены</w:t>
      </w:r>
      <w:r>
        <w:t xml:space="preserve"> </w:t>
      </w:r>
      <w:r>
        <w:t xml:space="preserve">только</w:t>
      </w:r>
      <w:r>
        <w:t xml:space="preserve"> </w:t>
      </w:r>
      <w:r>
        <w:t xml:space="preserve">в</w:t>
      </w:r>
      <w:r>
        <w:t xml:space="preserve"> 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</w:t>
      </w:r>
      <w:r>
        <w:t xml:space="preserve">Portable Document Format (</w:t>
      </w:r>
      <w:r>
        <w:t xml:space="preserve">*.</w:t>
      </w:r>
      <w:r>
        <w:rPr>
          <w:lang w:val="en-US"/>
        </w:rPr>
        <w:t xml:space="preserve">pdf</w:t>
      </w:r>
      <w:r>
        <w:t xml:space="preserve">)</w:t>
      </w:r>
      <w:r>
        <w:t xml:space="preserve">);</w:t>
      </w:r>
      <w:r/>
    </w:p>
    <w:p>
      <w:pPr>
        <w:pStyle w:val="1113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13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13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13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12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11"/>
      </w:pPr>
      <w:r/>
      <w:bookmarkStart w:id="419" w:name="_Toc19"/>
      <w:r/>
      <w:bookmarkStart w:id="105" w:name="_Ref130394205"/>
      <w:r/>
      <w:bookmarkStart w:id="106" w:name="_Ref130394785"/>
      <w:r/>
      <w:bookmarkStart w:id="107" w:name="_Ref130394802"/>
      <w:r>
        <w:t xml:space="preserve">Разъяснение Документации о закупке</w:t>
      </w:r>
      <w:bookmarkEnd w:id="95"/>
      <w:r/>
      <w:bookmarkEnd w:id="96"/>
      <w:r/>
      <w:bookmarkEnd w:id="97"/>
      <w:r/>
      <w:bookmarkEnd w:id="105"/>
      <w:r/>
      <w:bookmarkEnd w:id="106"/>
      <w:r/>
      <w:bookmarkEnd w:id="107"/>
      <w:r/>
      <w:bookmarkEnd w:id="419"/>
      <w:r/>
      <w:r/>
    </w:p>
    <w:p>
      <w:pPr>
        <w:pStyle w:val="1112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12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12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12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12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12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</w:t>
        </w:r>
        <w:r>
          <w:rPr>
            <w:rStyle w:val="1140"/>
          </w:rPr>
          <w:t xml:space="preserve">роекта </w:t>
        </w:r>
        <w:r>
          <w:rPr>
            <w:rStyle w:val="1140"/>
          </w:rPr>
          <w:t xml:space="preserve">д</w:t>
        </w:r>
        <w:r>
          <w:rPr>
            <w:rStyle w:val="1140"/>
          </w:rPr>
          <w:t xml:space="preserve">оговора</w:t>
        </w:r>
        <w:r>
          <w:rPr>
            <w:rStyle w:val="1140"/>
          </w:rPr>
          <w:t xml:space="preserve"> (Приложения № 2)</w:t>
        </w:r>
      </w:hyperlink>
      <w:r>
        <w:rPr>
          <w:rStyle w:val="1140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12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11"/>
      </w:pPr>
      <w:r/>
      <w:bookmarkStart w:id="420" w:name="_Toc20"/>
      <w:r/>
      <w:bookmarkStart w:id="109" w:name="_Ref125362076"/>
      <w:r/>
      <w:bookmarkStart w:id="110" w:name="_Ref125363891"/>
      <w:r/>
      <w:bookmarkStart w:id="111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109"/>
      <w:r/>
      <w:bookmarkEnd w:id="110"/>
      <w:r/>
      <w:bookmarkEnd w:id="111"/>
      <w:r/>
      <w:bookmarkEnd w:id="420"/>
      <w:r/>
      <w:r/>
    </w:p>
    <w:p>
      <w:pPr>
        <w:pStyle w:val="1112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12"/>
        <w:keepNext/>
      </w:pPr>
      <w:r/>
      <w:bookmarkStart w:id="113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 (</w:t>
      </w:r>
      <w:bookmarkStart w:id="114" w:name="_Hlk149650101"/>
      <w:r>
        <w:t xml:space="preserve">и если необходимо времени</w:t>
      </w:r>
      <w:bookmarkEnd w:id="114"/>
      <w:r>
        <w:t xml:space="preserve">)</w:t>
      </w:r>
      <w:r>
        <w:t xml:space="preserve">:</w:t>
      </w:r>
      <w:r/>
    </w:p>
    <w:p>
      <w:pPr>
        <w:pStyle w:val="1113"/>
      </w:pPr>
      <w:r>
        <w:t xml:space="preserve">рассмотрения первых частей заявок;</w:t>
      </w:r>
      <w:r/>
    </w:p>
    <w:p>
      <w:pPr>
        <w:pStyle w:val="1113"/>
      </w:pPr>
      <w:r>
        <w:t xml:space="preserve">проведения аукциона;</w:t>
      </w:r>
      <w:r/>
    </w:p>
    <w:p>
      <w:pPr>
        <w:pStyle w:val="1113"/>
      </w:pPr>
      <w:r>
        <w:t xml:space="preserve">рассмотрения вторых частей заявок</w:t>
      </w:r>
      <w:r>
        <w:t xml:space="preserve">;</w:t>
      </w:r>
      <w:r/>
    </w:p>
    <w:p>
      <w:pPr>
        <w:pStyle w:val="1113"/>
      </w:pPr>
      <w:r>
        <w:t xml:space="preserve">подведения итогов закупки;</w:t>
      </w:r>
      <w:r/>
    </w:p>
    <w:p>
      <w:pPr>
        <w:pStyle w:val="1116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13"/>
      <w:r/>
      <w:r/>
    </w:p>
    <w:p>
      <w:pPr>
        <w:pStyle w:val="1112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</w:t>
      </w:r>
      <w:r>
        <w:t xml:space="preserve">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12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13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13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12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11"/>
      </w:pPr>
      <w:r/>
      <w:bookmarkStart w:id="421" w:name="_Toc21"/>
      <w:r/>
      <w:bookmarkStart w:id="115" w:name="_Ref125362119"/>
      <w:r>
        <w:t xml:space="preserve">Подача заявок и их прием</w:t>
      </w:r>
      <w:bookmarkEnd w:id="115"/>
      <w:r/>
      <w:bookmarkEnd w:id="421"/>
      <w:r/>
      <w:r/>
    </w:p>
    <w:p>
      <w:pPr>
        <w:pStyle w:val="1112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</w:t>
      </w:r>
      <w:r>
        <w:t xml:space="preserve">первая и вторая</w:t>
      </w:r>
      <w:r>
        <w:t xml:space="preserve"> части заяв</w:t>
      </w:r>
      <w:r>
        <w:t xml:space="preserve">ок </w:t>
      </w:r>
      <w:r>
        <w:t xml:space="preserve">подаются </w:t>
      </w:r>
      <w:r>
        <w:t xml:space="preserve">Участниками</w:t>
      </w:r>
      <w:r>
        <w:t xml:space="preserve">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 </w:t>
      </w:r>
      <w:r>
        <w:t xml:space="preserve">причин опоздания.</w:t>
      </w:r>
      <w:r>
        <w:t xml:space="preserve">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12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12"/>
      </w:pPr>
      <w:r>
        <w:t xml:space="preserve">Заявка должна быть подписана </w:t>
      </w:r>
      <w:bookmarkStart w:id="117" w:name="_Hlk219296949"/>
      <w:r>
        <w:t xml:space="preserve">усиленной квалифицированной </w:t>
      </w:r>
      <w:bookmarkEnd w:id="117"/>
      <w:r>
        <w:t xml:space="preserve">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12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12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12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11"/>
      </w:pPr>
      <w:r/>
      <w:bookmarkStart w:id="422" w:name="_Toc22"/>
      <w:r/>
      <w:bookmarkStart w:id="118" w:name="_Ref125362130"/>
      <w:r/>
      <w:bookmarkStart w:id="119" w:name="_Ref125362192"/>
      <w:r/>
      <w:bookmarkStart w:id="120" w:name="_Ref125363819"/>
      <w:r/>
      <w:bookmarkStart w:id="121" w:name="_Ref125365136"/>
      <w:r>
        <w:t xml:space="preserve">Изменение и отзыв заявок</w:t>
      </w:r>
      <w:bookmarkEnd w:id="118"/>
      <w:r/>
      <w:bookmarkEnd w:id="119"/>
      <w:r/>
      <w:bookmarkEnd w:id="120"/>
      <w:r/>
      <w:bookmarkEnd w:id="121"/>
      <w:r/>
      <w:bookmarkEnd w:id="422"/>
      <w:r/>
      <w:r/>
    </w:p>
    <w:p>
      <w:pPr>
        <w:pStyle w:val="1112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12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12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11"/>
      </w:pPr>
      <w:r/>
      <w:bookmarkStart w:id="423" w:name="_Toc23"/>
      <w:r/>
      <w:bookmarkStart w:id="123" w:name="_Ref132816188"/>
      <w:r>
        <w:t xml:space="preserve">Открытие доступа к первым частям заявок</w:t>
      </w:r>
      <w:bookmarkEnd w:id="123"/>
      <w:r/>
      <w:bookmarkEnd w:id="423"/>
      <w:r/>
      <w:r/>
    </w:p>
    <w:p>
      <w:pPr>
        <w:pStyle w:val="1112"/>
      </w:pPr>
      <w:r/>
      <w:bookmarkStart w:id="125" w:name="_Hlk149310876"/>
      <w:r/>
      <w:bookmarkStart w:id="126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25"/>
      <w:r/>
      <w:r/>
    </w:p>
    <w:p>
      <w:pPr>
        <w:pStyle w:val="1112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26"/>
      <w:r/>
      <w:r/>
    </w:p>
    <w:p>
      <w:pPr>
        <w:pStyle w:val="1111"/>
      </w:pPr>
      <w:r/>
      <w:bookmarkStart w:id="424" w:name="_Toc24"/>
      <w:r/>
      <w:bookmarkStart w:id="127" w:name="_Ref125362364"/>
      <w:r/>
      <w:bookmarkStart w:id="128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27"/>
      <w:r/>
      <w:bookmarkEnd w:id="128"/>
      <w:r/>
      <w:bookmarkEnd w:id="424"/>
      <w:r/>
      <w:r/>
    </w:p>
    <w:p>
      <w:pPr>
        <w:pStyle w:val="1112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2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</w:t>
        </w:r>
        <w:r>
          <w:rPr>
            <w:rStyle w:val="1140"/>
          </w:rPr>
          <w:t xml:space="preserve">тборочным критериям</w:t>
        </w:r>
        <w:r>
          <w:rPr>
            <w:rStyle w:val="1140"/>
          </w:rPr>
          <w:t xml:space="preserve"> рассмотрения заявок (Приложение № </w:t>
        </w:r>
        <w:r>
          <w:rPr>
            <w:rStyle w:val="1140"/>
          </w:rPr>
          <w:t xml:space="preserve">7</w:t>
        </w:r>
        <w:r>
          <w:rPr>
            <w:rStyle w:val="1140"/>
          </w:rPr>
          <w:t xml:space="preserve">)</w:t>
        </w:r>
      </w:hyperlink>
      <w:r>
        <w:t xml:space="preserve">.</w:t>
      </w:r>
      <w:r/>
    </w:p>
    <w:p>
      <w:pPr>
        <w:pStyle w:val="1112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12"/>
        <w:keepNext/>
      </w:pPr>
      <w:r/>
      <w:bookmarkStart w:id="130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30"/>
      <w:r/>
      <w:r/>
    </w:p>
    <w:p>
      <w:pPr>
        <w:pStyle w:val="1113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24"/>
        </w:rPr>
        <w:footnoteReference w:id="4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13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продукции;</w:t>
      </w:r>
      <w:r/>
    </w:p>
    <w:p>
      <w:pPr>
        <w:pStyle w:val="1113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13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12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24"/>
        </w:rPr>
        <w:footnoteReference w:id="5"/>
      </w:r>
      <w:r>
        <w:t xml:space="preserve">:</w:t>
      </w:r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13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13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2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</w:t>
      </w:r>
      <w:r>
        <w:t xml:space="preserve">, но в любом случае до начала проведения аукциона</w:t>
      </w:r>
      <w:r>
        <w:t xml:space="preserve">;</w:t>
      </w:r>
      <w:r>
        <w:t xml:space="preserve">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1"/>
      </w:pPr>
      <w:r/>
      <w:bookmarkStart w:id="425" w:name="_Toc25"/>
      <w:r/>
      <w:bookmarkStart w:id="131" w:name="_Ref149649965"/>
      <w:r/>
      <w:bookmarkStart w:id="132" w:name="_Ref149650136"/>
      <w:r>
        <w:t xml:space="preserve">Проведение аукциона</w:t>
      </w:r>
      <w:bookmarkEnd w:id="131"/>
      <w:r/>
      <w:bookmarkEnd w:id="132"/>
      <w:r/>
      <w:bookmarkEnd w:id="425"/>
      <w:r/>
      <w:r/>
    </w:p>
    <w:p>
      <w:pPr>
        <w:pStyle w:val="1112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12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12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12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12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</w:t>
      </w:r>
      <w:bookmarkStart w:id="134" w:name="_Hlk149642663"/>
      <w:r>
        <w:t xml:space="preserve">Снижение стоимости заявки на величину, меньше «шага аукциона», не допускается.</w:t>
      </w:r>
      <w:bookmarkEnd w:id="134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12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12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12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12"/>
      </w:pPr>
      <w:r>
        <w:t xml:space="preserve">Каждая новая ценовая ставка Участника должна быть меньше предыдущей, а</w:t>
      </w:r>
      <w:r>
        <w:t xml:space="preserve"> </w:t>
      </w:r>
      <w:r>
        <w:t xml:space="preserve">также не должна равнять</w:t>
      </w:r>
      <w:r>
        <w:t xml:space="preserve">ся нулю. Изменение стоимости заявки, предлагаемой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</w:t>
      </w:r>
      <w:r>
        <w:t xml:space="preserve"> </w:t>
      </w:r>
      <w:r>
        <w:t xml:space="preserve">закупке, коммерческих интересов Заказчика.</w:t>
      </w:r>
      <w:r/>
    </w:p>
    <w:p>
      <w:pPr>
        <w:pStyle w:val="1112"/>
      </w:pPr>
      <w:r>
        <w:t xml:space="preserve">Если в ходе аукциона стоимость заявки снижена до нуля, ход аукциона на</w:t>
      </w:r>
      <w:r>
        <w:t xml:space="preserve"> </w:t>
      </w:r>
      <w:r>
        <w:t xml:space="preserve">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12"/>
      </w:pPr>
      <w:r/>
      <w:bookmarkStart w:id="135" w:name="_Ref149645598"/>
      <w:r>
        <w:t xml:space="preserve">Участник</w:t>
      </w:r>
      <w:r>
        <w:t xml:space="preserve">и</w:t>
      </w:r>
      <w:r>
        <w:t xml:space="preserve">, </w:t>
      </w:r>
      <w:r>
        <w:t xml:space="preserve">принявшие участие в процедуре аукциона</w:t>
      </w:r>
      <w:r>
        <w:t xml:space="preserve">, обязан</w:t>
      </w:r>
      <w:r>
        <w:t xml:space="preserve">ы</w:t>
      </w:r>
      <w:r>
        <w:t xml:space="preserve"> в течение 1</w:t>
      </w:r>
      <w:r>
        <w:t xml:space="preserve"> </w:t>
      </w:r>
      <w:r>
        <w:t xml:space="preserve">(одного) рабочего дня после завершения аукциона </w:t>
      </w:r>
      <w:r>
        <w:t xml:space="preserve">разместить на ЭП полный комплект документов, входящих в ценовое предложение согласно перечню, 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6 – Состав заявки</w:t>
        </w:r>
      </w:hyperlink>
      <w:r>
        <w:t xml:space="preserve">,</w:t>
      </w:r>
      <w:r>
        <w:t xml:space="preserve"> в соответствии с</w:t>
      </w:r>
      <w:r>
        <w:t xml:space="preserve"> </w:t>
      </w:r>
      <w:r>
        <w:t xml:space="preserve">заявленной им в ходе проведения аукциона ценовой ставкой.</w:t>
      </w:r>
      <w:bookmarkEnd w:id="135"/>
      <w:r/>
      <w:r/>
    </w:p>
    <w:p>
      <w:pPr>
        <w:pStyle w:val="1112"/>
      </w:pPr>
      <w:r>
        <w:t xml:space="preserve">Участники, которые не приняли участие в процедуре аукциона (не подали ни</w:t>
      </w:r>
      <w:r>
        <w:t xml:space="preserve"> </w:t>
      </w:r>
      <w:r>
        <w:t xml:space="preserve">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), считаются не подавшими ценовые предложения, и заявки таких </w:t>
      </w:r>
      <w:r>
        <w:t xml:space="preserve">У</w:t>
      </w:r>
      <w:r>
        <w:t xml:space="preserve">частников отклоняются на этапе рассмотрения вторых частей заявок</w:t>
      </w:r>
      <w:r>
        <w:t xml:space="preserve">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1"/>
      </w:pPr>
      <w:r/>
      <w:bookmarkStart w:id="426" w:name="_Toc26"/>
      <w:r/>
      <w:bookmarkStart w:id="136" w:name="_Ref132801184"/>
      <w:r>
        <w:t xml:space="preserve">Открытие доступа ко вторым частям заявок</w:t>
      </w:r>
      <w:bookmarkEnd w:id="136"/>
      <w:r/>
      <w:bookmarkEnd w:id="426"/>
      <w:r/>
      <w:r/>
    </w:p>
    <w:p>
      <w:pPr>
        <w:pStyle w:val="1112"/>
      </w:pPr>
      <w:r/>
      <w:bookmarkStart w:id="138" w:name="_Hlk149645475"/>
      <w:r>
        <w:t xml:space="preserve">Оператор ЭП </w:t>
      </w:r>
      <w:r>
        <w:t xml:space="preserve">в</w:t>
      </w:r>
      <w:r>
        <w:t xml:space="preserve"> срок, установленный</w:t>
      </w:r>
      <w:r>
        <w:t xml:space="preserve"> </w:t>
      </w:r>
      <w:r>
        <w:t xml:space="preserve">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</w:t>
      </w:r>
      <w:r>
        <w:t xml:space="preserve">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</w:t>
      </w:r>
      <w:r>
        <w:t xml:space="preserve">Участников, которые приняли участие в процедуре аукциона.</w:t>
      </w:r>
      <w:bookmarkEnd w:id="138"/>
      <w:r/>
      <w:r/>
    </w:p>
    <w:p>
      <w:pPr>
        <w:pStyle w:val="1112"/>
      </w:pPr>
      <w:r>
        <w:t xml:space="preserve">С</w:t>
      </w:r>
      <w:r>
        <w:t xml:space="preserve">рок направления </w:t>
      </w:r>
      <w:r>
        <w:t xml:space="preserve">О</w:t>
      </w:r>
      <w:r>
        <w:t xml:space="preserve">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</w:t>
      </w:r>
      <w:r>
        <w:t xml:space="preserve">– </w:t>
      </w:r>
      <w:r>
        <w:t xml:space="preserve">подачи Участниками ценовых предложений</w:t>
      </w:r>
      <w:r>
        <w:t xml:space="preserve">.</w:t>
      </w:r>
      <w:r/>
    </w:p>
    <w:p>
      <w:pPr>
        <w:pStyle w:val="1112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</w:t>
      </w:r>
      <w:r>
        <w:t xml:space="preserve">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</w:t>
      </w:r>
      <w:r>
        <w:t xml:space="preserve"> </w:t>
      </w:r>
      <w:r>
        <w:t xml:space="preserve">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</w:t>
      </w:r>
      <w:r>
        <w:t xml:space="preserve">Участников такой закупки.</w:t>
      </w:r>
      <w:r/>
    </w:p>
    <w:p>
      <w:pPr>
        <w:pStyle w:val="1111"/>
      </w:pPr>
      <w:r/>
      <w:bookmarkStart w:id="427" w:name="_Toc27"/>
      <w:r/>
      <w:bookmarkStart w:id="139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</w:t>
      </w:r>
      <w:bookmarkEnd w:id="139"/>
      <w:r/>
      <w:bookmarkEnd w:id="427"/>
      <w:r/>
      <w:r/>
    </w:p>
    <w:p>
      <w:pPr>
        <w:pStyle w:val="1112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2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12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проводится на</w:t>
      </w:r>
      <w:r>
        <w:t xml:space="preserve"> 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 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12"/>
        <w:keepNext/>
      </w:pPr>
      <w:r/>
      <w:bookmarkStart w:id="141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</w:t>
      </w:r>
      <w:r>
        <w:t xml:space="preserve"> </w:t>
      </w:r>
      <w:r>
        <w:t xml:space="preserve">следующим основаниям:</w:t>
      </w:r>
      <w:bookmarkEnd w:id="141"/>
      <w:r/>
      <w:r/>
    </w:p>
    <w:p>
      <w:pPr>
        <w:pStyle w:val="1113"/>
      </w:pPr>
      <w:r>
        <w:t xml:space="preserve">несоответствие второй части заявки по</w:t>
      </w:r>
      <w:r>
        <w:t xml:space="preserve"> </w:t>
      </w:r>
      <w:r>
        <w:t xml:space="preserve">составу, содержанию и соблюдению требований Документации о</w:t>
      </w:r>
      <w:r>
        <w:t xml:space="preserve"> </w:t>
      </w:r>
      <w:r>
        <w:t xml:space="preserve">закупке к подготовке (оформлению) заявки, в том числе наличие: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заявки, в том числе по тексту внутри одного документа;</w:t>
      </w:r>
      <w:r/>
    </w:p>
    <w:p>
      <w:pPr>
        <w:pStyle w:val="1113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13"/>
      </w:pPr>
      <w:r>
        <w:t xml:space="preserve">несоответствие Участников требованиям Документации о закупке;</w:t>
      </w:r>
      <w:r/>
    </w:p>
    <w:p>
      <w:pPr>
        <w:pStyle w:val="1113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13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Решение Закупочной комиссии по рассмотрению вторых частей заявок </w:t>
      </w:r>
      <w:r>
        <w:t xml:space="preserve">о</w:t>
      </w:r>
      <w:r>
        <w:t xml:space="preserve">формляется протоколом, в котором, как минимум, указываются</w:t>
      </w:r>
      <w:r>
        <w:rPr>
          <w:rStyle w:val="1124"/>
        </w:rPr>
        <w:footnoteReference w:id="6"/>
      </w:r>
      <w:r>
        <w:t xml:space="preserve">:</w:t>
      </w:r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, с указанием стоимости такой заявки (цены Договора), полученной по результатам процедуры аукциона</w:t>
      </w:r>
      <w:r>
        <w:t xml:space="preserve">;</w:t>
      </w:r>
      <w:r/>
    </w:p>
    <w:p>
      <w:pPr>
        <w:pStyle w:val="1113"/>
        <w:keepNext/>
      </w:pPr>
      <w:r>
        <w:t xml:space="preserve">результаты рассмотрения вторых частей заявок с</w:t>
      </w:r>
      <w:r>
        <w:t xml:space="preserve"> </w:t>
      </w:r>
      <w:r>
        <w:t xml:space="preserve">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13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2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1"/>
      </w:pPr>
      <w:r/>
      <w:bookmarkStart w:id="428" w:name="_Toc28"/>
      <w:r/>
      <w:bookmarkStart w:id="142" w:name="_Ref149656136"/>
      <w:r>
        <w:t xml:space="preserve">Открытие доступа к ценовым предложениям</w:t>
      </w:r>
      <w:bookmarkEnd w:id="142"/>
      <w:r/>
      <w:bookmarkEnd w:id="428"/>
      <w:r/>
      <w:r/>
    </w:p>
    <w:p>
      <w:pPr>
        <w:pStyle w:val="1112"/>
      </w:pPr>
      <w:r>
        <w:t xml:space="preserve">Оператор ЭП</w:t>
      </w:r>
      <w:r>
        <w:t xml:space="preserve">, </w:t>
      </w:r>
      <w:r>
        <w:t xml:space="preserve">после официального размещения протокола рассмотрения вторых частей заявок</w:t>
      </w:r>
      <w:r>
        <w:t xml:space="preserve">,</w:t>
      </w:r>
      <w:r>
        <w:t xml:space="preserve"> направляет в адрес Организатора </w:t>
      </w:r>
      <w:r>
        <w:t xml:space="preserve">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4.10.11</w:t>
      </w:r>
      <w:r>
        <w:fldChar w:fldCharType="end"/>
      </w:r>
      <w:r>
        <w:t xml:space="preserve">, </w:t>
      </w:r>
      <w:r>
        <w:t xml:space="preserve">с указанием информации о наименовании всех Участников, подавших ценовые предложения в рамках участия в процедуре аукциона</w:t>
      </w:r>
      <w:r>
        <w:t xml:space="preserve">.</w:t>
      </w:r>
      <w:r/>
    </w:p>
    <w:p>
      <w:pPr>
        <w:pStyle w:val="1112"/>
      </w:pPr>
      <w:r>
        <w:t xml:space="preserve">Подробные правила открытия Организатору доступа ко </w:t>
      </w:r>
      <w:r>
        <w:t xml:space="preserve">ценовым предложениям</w:t>
      </w:r>
      <w:r>
        <w:t xml:space="preserve"> определяются Регламентом ЭП, с использованием которой проводится закупка.</w:t>
      </w:r>
      <w:r/>
    </w:p>
    <w:p>
      <w:pPr>
        <w:pStyle w:val="1111"/>
      </w:pPr>
      <w:r/>
      <w:bookmarkStart w:id="429" w:name="_Toc29"/>
      <w:r/>
      <w:bookmarkStart w:id="144" w:name="_Ref149656148"/>
      <w:r>
        <w:t xml:space="preserve">Рассмотрение ценовых предложений (отборочная стадия)</w:t>
      </w:r>
      <w:bookmarkEnd w:id="144"/>
      <w:r/>
      <w:bookmarkEnd w:id="429"/>
      <w:r/>
      <w:r/>
    </w:p>
    <w:p>
      <w:pPr>
        <w:pStyle w:val="1112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</w:t>
      </w:r>
      <w:r>
        <w:t xml:space="preserve">аукциона,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r/>
    </w:p>
    <w:p>
      <w:pPr>
        <w:pStyle w:val="1112"/>
        <w:keepNext/>
      </w:pPr>
      <w:r/>
      <w:bookmarkStart w:id="146" w:name="_Ref224835330"/>
      <w:r>
        <w:t xml:space="preserve">При выявлении в рамках рассмотрения ценовых предложений наличия арифметических ошибок, в том числе:</w:t>
      </w:r>
      <w:bookmarkEnd w:id="146"/>
      <w:r/>
      <w:r/>
    </w:p>
    <w:p>
      <w:pPr>
        <w:pStyle w:val="1113"/>
      </w:pPr>
      <w:r>
        <w:t xml:space="preserve">в результате суммирования единичных расценок;</w:t>
      </w:r>
      <w:r/>
    </w:p>
    <w:p>
      <w:pPr>
        <w:pStyle w:val="1113"/>
      </w:pPr>
      <w:r>
        <w:t xml:space="preserve">в итогах умножения единичных расценок на объем продукции;</w:t>
      </w:r>
      <w:r/>
    </w:p>
    <w:p>
      <w:pPr>
        <w:pStyle w:val="1113"/>
      </w:pPr>
      <w:r>
        <w:t xml:space="preserve">в вычислении суммы НДС и итоговой стоимости заявки с учетом НДС;</w:t>
      </w:r>
      <w:r/>
    </w:p>
    <w:p>
      <w:pPr>
        <w:pStyle w:val="1113"/>
      </w:pPr>
      <w:r>
        <w:t xml:space="preserve">иных внутренних противоречий в составе заявки,</w:t>
      </w:r>
      <w:r/>
    </w:p>
    <w:p>
      <w:pPr>
        <w:pStyle w:val="1116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и подписанной усиленной квалифицированной электронной подписью уполномоченного лица Участника. При </w:t>
      </w:r>
      <w:r>
        <w:t xml:space="preserve">уклонении Участника от заключения договора на</w:t>
      </w:r>
      <w:r>
        <w:t xml:space="preserve"> </w:t>
      </w:r>
      <w:r>
        <w:t xml:space="preserve">вышеуказанных условиях</w:t>
      </w:r>
      <w:r>
        <w:t xml:space="preserve"> заявка такого Участника подлежит отклонению решением Закупочной комиссии.</w:t>
      </w:r>
      <w:r/>
    </w:p>
    <w:p>
      <w:pPr>
        <w:pStyle w:val="1112"/>
        <w:keepNext/>
      </w:pPr>
      <w:r/>
      <w:bookmarkStart w:id="147" w:name="_Ref224835414"/>
      <w:r>
        <w:t xml:space="preserve">По результатам рассмотрения ценовых предложений (проведения отборочной стадии) Закупочная комиссия отклоняет заявки по </w:t>
      </w:r>
      <w:r>
        <w:t xml:space="preserve">следующ</w:t>
      </w:r>
      <w:r>
        <w:t xml:space="preserve">им</w:t>
      </w:r>
      <w:r>
        <w:t xml:space="preserve"> </w:t>
      </w:r>
      <w:r>
        <w:t xml:space="preserve">основани</w:t>
      </w:r>
      <w:r>
        <w:t xml:space="preserve">ям</w:t>
      </w:r>
      <w:r>
        <w:t xml:space="preserve">:</w:t>
      </w:r>
      <w:bookmarkEnd w:id="147"/>
      <w:r/>
      <w:r/>
    </w:p>
    <w:p>
      <w:pPr>
        <w:pStyle w:val="1113"/>
        <w:keepNext/>
      </w:pPr>
      <w:r>
        <w:t xml:space="preserve">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заявки, в</w:t>
      </w:r>
      <w:r>
        <w:t xml:space="preserve"> </w:t>
      </w:r>
      <w:r>
        <w:t xml:space="preserve">том числе по тексту внутри одного документа</w:t>
      </w:r>
      <w:r>
        <w:t xml:space="preserve"> (за исключением ошибок, предусмотренных пунктом </w:t>
      </w:r>
      <w:r>
        <w:fldChar w:fldCharType="begin"/>
      </w:r>
      <w:r>
        <w:instrText xml:space="preserve"> REF _Ref224835330 \r \h </w:instrText>
      </w:r>
      <w:r>
        <w:fldChar w:fldCharType="separate"/>
      </w:r>
      <w:r>
        <w:t xml:space="preserve">4.14.2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/>
      <w:bookmarkStart w:id="148" w:name="_Hlk209699544"/>
      <w:r>
        <w:t xml:space="preserve">несоответствие ценового предложения Участника </w:t>
      </w:r>
      <w:r>
        <w:t xml:space="preserve">(котор</w:t>
      </w:r>
      <w:r>
        <w:t xml:space="preserve">ое</w:t>
      </w:r>
      <w:r>
        <w:t xml:space="preserve"> могл</w:t>
      </w:r>
      <w:r>
        <w:t xml:space="preserve">о</w:t>
      </w:r>
      <w:r>
        <w:t xml:space="preserve"> быть выявлен</w:t>
      </w:r>
      <w:r>
        <w:t xml:space="preserve">о</w:t>
      </w:r>
      <w:r>
        <w:t xml:space="preserve"> только </w:t>
      </w:r>
      <w:r>
        <w:t xml:space="preserve">на</w:t>
      </w:r>
      <w:r>
        <w:t xml:space="preserve"> данн</w:t>
      </w:r>
      <w:r>
        <w:t xml:space="preserve">ом</w:t>
      </w:r>
      <w:r>
        <w:t xml:space="preserve"> этап</w:t>
      </w:r>
      <w:r>
        <w:t xml:space="preserve">е</w:t>
      </w:r>
      <w:r>
        <w:t xml:space="preserve"> закупки) законодательству о</w:t>
      </w:r>
      <w:r>
        <w:t xml:space="preserve"> </w:t>
      </w:r>
      <w:r>
        <w:t xml:space="preserve">национальном режиме (подраздел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bookmarkEnd w:id="148"/>
      <w:r/>
      <w:r/>
    </w:p>
    <w:p>
      <w:pPr>
        <w:pStyle w:val="1112"/>
      </w:pPr>
      <w:r>
        <w:t xml:space="preserve">Решение Закупочной комиссии по рассмотрению </w:t>
      </w:r>
      <w:r>
        <w:t xml:space="preserve">ценовых предложений Участников</w:t>
      </w:r>
      <w:r>
        <w:t xml:space="preserve"> вносится в итоговый протокол по результатам закупки.</w:t>
      </w:r>
      <w:r/>
    </w:p>
    <w:p>
      <w:pPr>
        <w:pStyle w:val="1111"/>
      </w:pPr>
      <w:r/>
      <w:bookmarkStart w:id="430" w:name="_Toc30"/>
      <w:r/>
      <w:bookmarkStart w:id="149" w:name="_Ref125362381"/>
      <w:r/>
      <w:bookmarkStart w:id="150" w:name="_Ref125362425"/>
      <w:r/>
      <w:bookmarkStart w:id="151" w:name="_Ref125362464"/>
      <w:r/>
      <w:bookmarkStart w:id="152" w:name="_Ref125362610"/>
      <w:r>
        <w:t xml:space="preserve">Дополнительные запросы разъяснений заявок</w:t>
      </w:r>
      <w:bookmarkEnd w:id="149"/>
      <w:r/>
      <w:bookmarkEnd w:id="150"/>
      <w:r/>
      <w:bookmarkEnd w:id="151"/>
      <w:r/>
      <w:bookmarkEnd w:id="152"/>
      <w:r/>
      <w:bookmarkEnd w:id="430"/>
      <w:r/>
      <w:r/>
    </w:p>
    <w:p>
      <w:pPr>
        <w:pStyle w:val="1112"/>
      </w:pPr>
      <w:r/>
      <w:bookmarkStart w:id="154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54"/>
      <w:r/>
      <w:r/>
    </w:p>
    <w:p>
      <w:pPr>
        <w:pStyle w:val="1113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14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14"/>
      </w:pPr>
      <w:r/>
      <w:bookmarkStart w:id="155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55"/>
      <w:r>
        <w:t xml:space="preserve">;</w:t>
      </w:r>
      <w:r/>
    </w:p>
    <w:p>
      <w:pPr>
        <w:pStyle w:val="1114"/>
      </w:pPr>
      <w:r>
        <w:t xml:space="preserve">соответствия заявки требованиям Документации о закупке в части характеристик предлагаемой продукции</w:t>
      </w:r>
      <w:r>
        <w:t xml:space="preserve">, страны происхождения товара и</w:t>
      </w:r>
      <w:r>
        <w:t xml:space="preserve"> </w:t>
      </w:r>
      <w:r>
        <w:t xml:space="preserve">(или) страны регистрации Участника (в целях исполнения требований законодательства о национальном режиме (подраздел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)),</w:t>
      </w:r>
      <w:r>
        <w:t xml:space="preserve">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13"/>
      </w:pPr>
      <w:r/>
      <w:bookmarkStart w:id="156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13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24"/>
        </w:rPr>
        <w:footnoteReference w:id="7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56"/>
      <w:r/>
      <w:r/>
    </w:p>
    <w:p>
      <w:pPr>
        <w:pStyle w:val="1112"/>
      </w:pPr>
      <w:r>
        <w:t xml:space="preserve">Если в рамках рассмотрения заявок</w:t>
      </w:r>
      <w:r>
        <w:t xml:space="preserve"> (вторых частей заявок)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12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12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4.15.1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12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.</w:t>
      </w:r>
      <w:r/>
    </w:p>
    <w:p>
      <w:pPr>
        <w:pStyle w:val="1111"/>
      </w:pPr>
      <w:r/>
      <w:bookmarkStart w:id="431" w:name="_Toc31"/>
      <w:r/>
      <w:bookmarkStart w:id="157" w:name="_Ref125362626"/>
      <w:r/>
      <w:bookmarkStart w:id="158" w:name="_Ref125365335"/>
      <w:r/>
      <w:bookmarkStart w:id="159" w:name="_Ref125365519"/>
      <w:r/>
      <w:bookmarkStart w:id="160" w:name="_Ref125366534"/>
      <w:r/>
      <w:bookmarkStart w:id="161" w:name="_Ref125369041"/>
      <w:r/>
      <w:bookmarkStart w:id="162" w:name="_Ref125369308"/>
      <w:r>
        <w:t xml:space="preserve">Оценка и сопоставление заявок</w:t>
      </w:r>
      <w:bookmarkEnd w:id="157"/>
      <w:r/>
      <w:bookmarkEnd w:id="158"/>
      <w:r/>
      <w:bookmarkEnd w:id="159"/>
      <w:r/>
      <w:bookmarkEnd w:id="160"/>
      <w:r/>
      <w:bookmarkEnd w:id="161"/>
      <w:r/>
      <w:bookmarkEnd w:id="162"/>
      <w:r/>
      <w:bookmarkEnd w:id="431"/>
      <w:r/>
      <w:r/>
    </w:p>
    <w:p>
      <w:pPr>
        <w:pStyle w:val="1112"/>
      </w:pPr>
      <w:r>
        <w:t xml:space="preserve">Оценка, признанных Закупочной комиссией </w:t>
      </w:r>
      <w:r>
        <w:t xml:space="preserve">соответствующими по</w:t>
      </w:r>
      <w:r>
        <w:t xml:space="preserve"> </w:t>
      </w:r>
      <w:r>
        <w:t xml:space="preserve">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40"/>
          </w:rPr>
          <w:t xml:space="preserve">Порядком и критериями оценки и сопоставления заявок (Приложение № </w:t>
        </w:r>
        <w:r>
          <w:rPr>
            <w:rStyle w:val="1140"/>
          </w:rPr>
          <w:t xml:space="preserve">8</w:t>
        </w:r>
        <w:r>
          <w:rPr>
            <w:rStyle w:val="1140"/>
          </w:rPr>
          <w:t xml:space="preserve">)</w:t>
        </w:r>
      </w:hyperlink>
      <w:r>
        <w:t xml:space="preserve">,</w:t>
      </w:r>
      <w:r>
        <w:t xml:space="preserve"> </w:t>
      </w:r>
      <w:r>
        <w:t xml:space="preserve">то есть:</w:t>
      </w:r>
      <w:r/>
    </w:p>
    <w:p>
      <w:pPr>
        <w:pStyle w:val="1113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13"/>
      </w:pPr>
      <w:r>
        <w:t xml:space="preserve">в едином базисе без учета НДС.</w:t>
      </w:r>
      <w:r/>
    </w:p>
    <w:p>
      <w:pPr>
        <w:pStyle w:val="1112"/>
      </w:pPr>
      <w:r>
        <w:t xml:space="preserve">Оценка и сопоставление заявок, 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12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</w:t>
      </w:r>
      <w:r>
        <w:t xml:space="preserve">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1124"/>
        </w:rPr>
        <w:footnoteReference w:id="8"/>
      </w:r>
      <w:r>
        <w:t xml:space="preserve">.</w:t>
      </w:r>
      <w:r/>
    </w:p>
    <w:p>
      <w:pPr>
        <w:pStyle w:val="1112"/>
      </w:pPr>
      <w:r/>
      <w:bookmarkStart w:id="169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11"/>
      </w:pPr>
      <w:r/>
      <w:bookmarkStart w:id="432" w:name="_Toc32"/>
      <w:r/>
      <w:bookmarkStart w:id="170" w:name="_Ref186183588"/>
      <w:r/>
      <w:bookmarkStart w:id="171" w:name="_Ref149648944"/>
      <w:r/>
      <w:bookmarkStart w:id="178" w:name="_Ref132816300"/>
      <w:r>
        <w:t xml:space="preserve">Применение </w:t>
      </w:r>
      <w:r>
        <w:t xml:space="preserve">законодательства о национальном режиме</w:t>
      </w:r>
      <w:bookmarkEnd w:id="170"/>
      <w:r/>
      <w:bookmarkEnd w:id="171"/>
      <w:r/>
      <w:bookmarkEnd w:id="432"/>
      <w:r/>
      <w:r/>
    </w:p>
    <w:p>
      <w:pPr>
        <w:pStyle w:val="1112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12"/>
      </w:pPr>
      <w:r/>
      <w:bookmarkStart w:id="179" w:name="_Ref195007394"/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допускается заключение </w:t>
      </w:r>
      <w:r>
        <w:t xml:space="preserve">Д</w:t>
      </w:r>
      <w:r>
        <w:t xml:space="preserve">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_Ref149656148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).</w:t>
      </w:r>
      <w:bookmarkEnd w:id="179"/>
      <w:r/>
      <w:r/>
    </w:p>
    <w:p>
      <w:pPr>
        <w:pStyle w:val="1112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</w:t>
      </w:r>
      <w:r>
        <w:t xml:space="preserve">Д</w:t>
      </w:r>
      <w:r>
        <w:t xml:space="preserve">оговора на поставку такой продукции, если была подана и по р</w:t>
      </w:r>
      <w:r>
        <w:t xml:space="preserve">езультатам рассмотрения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</w:t>
      </w:r>
      <w:r>
        <w:t xml:space="preserve">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_Ref149656148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1124"/>
        </w:rPr>
        <w:footnoteReference w:id="9"/>
      </w:r>
      <w:r>
        <w:t xml:space="preserve"> на 15% (пятнадцать процентов) итоговой стоимости </w:t>
      </w:r>
      <w:bookmarkStart w:id="180" w:name="_Hlk207810557"/>
      <w:r>
        <w:t xml:space="preserve">(цены Договора) поданной и допущенной </w:t>
      </w:r>
      <w:r>
        <w:t xml:space="preserve">заявки с российской продукцией (</w:t>
      </w:r>
      <w:r>
        <w:t xml:space="preserve">на </w:t>
      </w:r>
      <w:r>
        <w:t xml:space="preserve">поставку товара российского происхождения </w:t>
      </w:r>
      <w:r>
        <w:t xml:space="preserve">(в том числе поставляемых при выполнении закупаемых работ, оказании закупаемых услуг)</w:t>
      </w:r>
      <w:r>
        <w:t xml:space="preserve">)</w:t>
      </w:r>
      <w:r>
        <w:t xml:space="preserve">, </w:t>
      </w:r>
      <w:r>
        <w:t xml:space="preserve">при условии наличия допущенной заявки с иностранной продукцией (на поставку товара иностранного происхождения)</w:t>
      </w:r>
      <w:bookmarkEnd w:id="180"/>
      <w:r>
        <w:t xml:space="preserve">.</w:t>
      </w:r>
      <w:r/>
    </w:p>
    <w:p>
      <w:pPr>
        <w:pStyle w:val="1112"/>
      </w:pPr>
      <w:r/>
      <w:bookmarkStart w:id="181" w:name="_Ref195007400"/>
      <w:r/>
      <w:bookmarkStart w:id="182" w:name="_Hlk207810620"/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</w:t>
      </w:r>
      <w:r>
        <w:t xml:space="preserve">что Заказчик исполняет нормы в части минимальной обязательной доли закупок товаров российского происхождения, то не допускается заключение Договора на поставку товара иностранного происхождения, – соответствующая заявка отклоняется при рассмотрении заявок </w:t>
      </w:r>
      <w:r>
        <w:t xml:space="preserve">(подразделы </w:t>
      </w:r>
      <w:r>
        <w:fldChar w:fldCharType="begin"/>
      </w:r>
      <w:r>
        <w:instrText xml:space="preserve"> REF _Ref149656148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</w:t>
      </w:r>
      <w:r>
        <w:t xml:space="preserve">.</w:t>
      </w:r>
      <w:bookmarkEnd w:id="181"/>
      <w:r/>
      <w:r/>
    </w:p>
    <w:p>
      <w:pPr>
        <w:pStyle w:val="1112"/>
      </w:pPr>
      <w:r>
        <w:t xml:space="preserve">Состав и требования </w:t>
      </w:r>
      <w:r>
        <w:t xml:space="preserve">к сведениям и</w:t>
      </w:r>
      <w:r>
        <w:t xml:space="preserve"> </w:t>
      </w:r>
      <w:r>
        <w:t xml:space="preserve">(или)</w:t>
      </w:r>
      <w:r>
        <w:t xml:space="preserve"> и перечню документов</w:t>
      </w:r>
      <w:r>
        <w:t xml:space="preserve"> </w:t>
      </w:r>
      <w:r>
        <w:t xml:space="preserve">(их предоставлению Участником)</w:t>
      </w:r>
      <w:r>
        <w:t xml:space="preserve">, которые подтверждают страну происхождения товара </w:t>
      </w:r>
      <w:r>
        <w:t xml:space="preserve">(страны ЕАЭС, включая Россию)</w:t>
      </w:r>
      <w:r>
        <w:t xml:space="preserve">, </w:t>
      </w:r>
      <w:r>
        <w:t xml:space="preserve">в целях </w:t>
      </w:r>
      <w:r>
        <w:t xml:space="preserve">выполнения требований законодательства о национальном режиме (пункты</w:t>
      </w:r>
      <w:r>
        <w:t xml:space="preserve"> </w:t>
      </w:r>
      <w:r>
        <w:fldChar w:fldCharType="begin"/>
      </w:r>
      <w:r>
        <w:instrText xml:space="preserve"> REF _Ref195007394 \r \h </w:instrText>
      </w:r>
      <w:r>
        <w:fldChar w:fldCharType="separate"/>
      </w:r>
      <w:r>
        <w:t xml:space="preserve">4.17.2</w:t>
      </w:r>
      <w:r>
        <w:fldChar w:fldCharType="end"/>
      </w:r>
      <w:r>
        <w:t xml:space="preserve"> </w:t>
      </w:r>
      <w:r>
        <w:t xml:space="preserve">–</w:t>
      </w:r>
      <w:r>
        <w:t xml:space="preserve"> </w:t>
      </w:r>
      <w:r>
        <w:fldChar w:fldCharType="begin"/>
      </w:r>
      <w:r>
        <w:instrText xml:space="preserve"> REF _Ref195007400 \r \h </w:instrText>
      </w:r>
      <w:r>
        <w:fldChar w:fldCharType="separate"/>
      </w:r>
      <w:r>
        <w:t xml:space="preserve">4.17.5</w:t>
      </w:r>
      <w:r>
        <w:fldChar w:fldCharType="end"/>
      </w:r>
      <w:r>
        <w:t xml:space="preserve">),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, а также в Технических требованиях (</w:t>
      </w:r>
      <w:hyperlink w:tooltip="#Прил01_ТехТребования" w:anchor="Прил01_ТехТребования" w:history="1">
        <w:r>
          <w:rPr>
            <w:rStyle w:val="1140"/>
          </w:rPr>
          <w:t xml:space="preserve">Приложение № 1</w:t>
        </w:r>
      </w:hyperlink>
      <w:r>
        <w:t xml:space="preserve">) при исполнении Заказчиком норм в части минимальной обязательной доли закупок товаров российского происхождения</w:t>
      </w:r>
      <w:r>
        <w:t xml:space="preserve">.</w:t>
      </w:r>
      <w:r/>
    </w:p>
    <w:p>
      <w:pPr>
        <w:pStyle w:val="1112"/>
        <w:keepNext/>
      </w:pPr>
      <w:r>
        <w:t xml:space="preserve">Товар </w:t>
      </w:r>
      <w:r>
        <w:t xml:space="preserve">приравнивается к товарам, </w:t>
      </w:r>
      <w:r>
        <w:t xml:space="preserve">происходящим из иностранного государства (не являющегося государством – членом ЕАЭС), если:</w:t>
      </w:r>
      <w:r/>
    </w:p>
    <w:p>
      <w:pPr>
        <w:pStyle w:val="1113"/>
      </w:pPr>
      <w:r>
        <w:t xml:space="preserve">в отношении такого товара Участником не предоставлены в составе заявки требуемые Документацией о закупке подтверждающие сведения и (или) документы;</w:t>
      </w:r>
      <w:r/>
    </w:p>
    <w:p>
      <w:pPr>
        <w:pStyle w:val="1113"/>
      </w:pPr>
      <w:r>
        <w:t xml:space="preserve">в соответствии с реестровой записью из реестра российской промышленной продукции количество указанных баллов за выполнение (ос</w:t>
      </w:r>
      <w:r>
        <w:t xml:space="preserve">воение) на территории Российской Федерации соответствующих операций (условий) составляет меньшее значение по отношению к количеству баллов, определенных ПП 719 (в случае, если для такого товара ПП 719 установлены требования о совокупном количестве баллов).</w:t>
      </w:r>
      <w:r/>
    </w:p>
    <w:p>
      <w:pPr>
        <w:pStyle w:val="1112"/>
      </w:pP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 (в отношении позиции №</w:t>
      </w:r>
      <w:r>
        <w:t xml:space="preserve"> </w:t>
      </w:r>
      <w:r>
        <w:t xml:space="preserve">146 </w:t>
      </w:r>
      <w:r>
        <w:t xml:space="preserve">п</w:t>
      </w:r>
      <w:r>
        <w:t xml:space="preserve">риложения №</w:t>
      </w:r>
      <w:r>
        <w:t xml:space="preserve"> </w:t>
      </w:r>
      <w:r>
        <w:t xml:space="preserve">1 к ПП</w:t>
      </w:r>
      <w:r>
        <w:t xml:space="preserve"> </w:t>
      </w:r>
      <w:r>
        <w:t xml:space="preserve">1875), то</w:t>
      </w:r>
      <w:r>
        <w:t xml:space="preserve"> </w:t>
      </w:r>
      <w:r>
        <w:t xml:space="preserve">заявка, содержащая предложение о поставке российского программного обеспечения, реестровая запись о котором в реестре российского программного </w:t>
      </w:r>
      <w:r>
        <w:t xml:space="preserve">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</w:t>
      </w:r>
      <w:r>
        <w:t xml:space="preserve"> </w:t>
      </w:r>
      <w:r>
        <w:t xml:space="preserve">ПП</w:t>
      </w:r>
      <w:r>
        <w:t xml:space="preserve"> </w:t>
      </w:r>
      <w:r>
        <w:t xml:space="preserve">325, приравнивается к заявке, содержащей предложение о поставке программного обеспечения, происходящего из иностранного государства (не</w:t>
      </w:r>
      <w:r>
        <w:t xml:space="preserve"> </w:t>
      </w:r>
      <w:r>
        <w:t xml:space="preserve">являющегося государством – членом ЕАЭС), если на участие в закупке подана заявка (соответствующая установленным Документацией о закупке требованиям), содержащая предложение о поставке программного обеспечения, реестровая за</w:t>
      </w:r>
      <w:r>
        <w:t xml:space="preserve">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</w:t>
      </w:r>
      <w:r>
        <w:t xml:space="preserve"> </w:t>
      </w:r>
      <w:r>
        <w:t xml:space="preserve">ПП</w:t>
      </w:r>
      <w:r>
        <w:t xml:space="preserve"> </w:t>
      </w:r>
      <w:r>
        <w:t xml:space="preserve">325.</w:t>
      </w:r>
      <w:r/>
    </w:p>
    <w:p>
      <w:pPr>
        <w:pStyle w:val="1112"/>
      </w:pP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 (в отношении позиций №№</w:t>
      </w:r>
      <w:r>
        <w:t xml:space="preserve"> </w:t>
      </w:r>
      <w:r>
        <w:t xml:space="preserve">195, 197</w:t>
      </w:r>
      <w:r>
        <w:t xml:space="preserve"> </w:t>
      </w:r>
      <w:r>
        <w:t xml:space="preserve">–</w:t>
      </w:r>
      <w:r>
        <w:t xml:space="preserve"> </w:t>
      </w:r>
      <w:r>
        <w:t xml:space="preserve">199, 203 </w:t>
      </w:r>
      <w:r>
        <w:t xml:space="preserve">п</w:t>
      </w:r>
      <w:r>
        <w:t xml:space="preserve">риложения №</w:t>
      </w:r>
      <w:r>
        <w:t xml:space="preserve"> </w:t>
      </w:r>
      <w:r>
        <w:t xml:space="preserve">2 к</w:t>
      </w:r>
      <w:r>
        <w:t xml:space="preserve"> </w:t>
      </w:r>
      <w:r>
        <w:t xml:space="preserve">ПП 1875), то заявка, содержащая предложение о поставке российской радиоэлектронной продукции, но не являющейся в соответствии с ПП</w:t>
      </w:r>
      <w:r>
        <w:t xml:space="preserve"> </w:t>
      </w:r>
      <w:r>
        <w:t xml:space="preserve">719 радиоэлектронной продукцией первого уровня, приравнивается к заявке, содержащей предложение о поставке радиоэлектронной продукции из</w:t>
      </w:r>
      <w:r>
        <w:t xml:space="preserve"> </w:t>
      </w:r>
      <w:r>
        <w:t xml:space="preserve">иностранного государств</w:t>
      </w:r>
      <w:r>
        <w:t xml:space="preserve">а (не являющегося государством – членом ЕАЭС), если на участие в закупке подана заявка (соответствующая установленным Документацией о закупке требованиям), содержащая предложение о поставке радиоэлектронной продукции российского происхождения, являющейся в</w:t>
      </w:r>
      <w:r>
        <w:t xml:space="preserve"> </w:t>
      </w:r>
      <w:r>
        <w:t xml:space="preserve">соответствии с ПП</w:t>
      </w:r>
      <w:r>
        <w:t xml:space="preserve"> </w:t>
      </w:r>
      <w:r>
        <w:t xml:space="preserve">719 радиоэлектронной продукцией первого уровня.</w:t>
      </w:r>
      <w:r/>
    </w:p>
    <w:p>
      <w:pPr>
        <w:pStyle w:val="1112"/>
      </w:pPr>
      <w:r>
        <w:t xml:space="preserve">Если Договор был заключен по результатам закупки, в которой был установлен режим запрета закупки иностранных товаров, выполнения работ и</w:t>
      </w:r>
      <w:r>
        <w:t xml:space="preserve"> </w:t>
      </w:r>
      <w:r>
        <w:t xml:space="preserve">(или) оказания услуг иностранным лицом, то не допускается при исполнении такого Договора: замена закупаемого това</w:t>
      </w:r>
      <w:r>
        <w:t xml:space="preserve">ра на товар, происходящий из иностранного государства, в отношении которого в закупке был установлен запрет; перемена подрядчика (исполнителя) (в случае, если эта перемена допускается гражданским законодательством), с которым заключен указанный Договор, на</w:t>
      </w:r>
      <w:r>
        <w:t xml:space="preserve"> </w:t>
      </w:r>
      <w:r>
        <w:t xml:space="preserve">иностранное лицо, которое зарегистрировано на территории иностранного государства, в отношении которого установлен данный запрет.</w:t>
      </w:r>
      <w:r/>
    </w:p>
    <w:p>
      <w:pPr>
        <w:pStyle w:val="1112"/>
      </w:pPr>
      <w:r>
        <w:t xml:space="preserve">Если Договор был заключен по результатам закупки, в которой был установлен режим ограничения закупки иностранных товаров, то не допускается при</w:t>
      </w:r>
      <w:r>
        <w:t xml:space="preserve"> </w:t>
      </w:r>
      <w:r>
        <w:t xml:space="preserve">исполнении такого Договора замена закупаемого товара на товар, происходящий из иностранного государства, в отношении которого в закупке было установлено ограничение, если Договор предусматривает поставку товара российского происхождения.</w:t>
      </w:r>
      <w:r/>
    </w:p>
    <w:p>
      <w:pPr>
        <w:pStyle w:val="1112"/>
      </w:pPr>
      <w:r>
        <w:t xml:space="preserve">Если Договор был заключен по результатам закупки, в которой был установлен режим преимущество в отношении товара российского происхождения, то</w:t>
      </w:r>
      <w:r>
        <w:t xml:space="preserve"> </w:t>
      </w:r>
      <w:r>
        <w:t xml:space="preserve">не</w:t>
      </w:r>
      <w:r>
        <w:t xml:space="preserve"> </w:t>
      </w:r>
      <w:r>
        <w:t xml:space="preserve">допускается при исполнении такого Договора замена закупаемого товара на товар, происходящий из иностранного государства, в отношении которого в</w:t>
      </w:r>
      <w:r>
        <w:t xml:space="preserve"> </w:t>
      </w:r>
      <w:r>
        <w:t xml:space="preserve">закупке было установлено преимущество, если Договор предусматривает поставку товара российского происхождения</w:t>
      </w:r>
      <w:bookmarkEnd w:id="182"/>
      <w:r>
        <w:t xml:space="preserve">.</w:t>
      </w:r>
      <w:r/>
    </w:p>
    <w:p>
      <w:pPr>
        <w:pStyle w:val="1111"/>
      </w:pPr>
      <w:r/>
      <w:bookmarkStart w:id="433" w:name="_Toc33"/>
      <w:r/>
      <w:bookmarkStart w:id="185" w:name="_Ref125362658"/>
      <w:r/>
      <w:bookmarkStart w:id="186" w:name="_Ref125366091"/>
      <w:r/>
      <w:bookmarkStart w:id="187" w:name="_Ref125367242"/>
      <w:r>
        <w:t xml:space="preserve">Подведение итогов закупки (определение Победителя)</w:t>
      </w:r>
      <w:bookmarkEnd w:id="185"/>
      <w:r/>
      <w:bookmarkEnd w:id="186"/>
      <w:r/>
      <w:bookmarkEnd w:id="187"/>
      <w:r/>
      <w:bookmarkEnd w:id="433"/>
      <w:r/>
      <w:r/>
    </w:p>
    <w:p>
      <w:pPr>
        <w:pStyle w:val="1112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12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12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</w:t>
      </w:r>
      <w:r>
        <w:t xml:space="preserve"> </w:t>
      </w:r>
      <w:r>
        <w:t xml:space="preserve">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 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статус «</w:t>
      </w:r>
      <w:r>
        <w:t xml:space="preserve">не</w:t>
      </w:r>
      <w:r>
        <w:t xml:space="preserve">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</w:t>
      </w:r>
      <w:r>
        <w:t xml:space="preserve"> </w:t>
      </w:r>
      <w:r>
        <w:t xml:space="preserve">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12"/>
        <w:keepNext/>
      </w:pPr>
      <w:r/>
      <w:bookmarkStart w:id="18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24"/>
        </w:rPr>
        <w:footnoteReference w:id="10"/>
      </w:r>
      <w:r>
        <w:t xml:space="preserve">:</w:t>
      </w:r>
      <w:bookmarkEnd w:id="189"/>
      <w:r/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наименования Участников,</w:t>
      </w:r>
      <w:r>
        <w:t xml:space="preserve"> заявки которых были допущены по 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13"/>
        <w:keepNext/>
      </w:pPr>
      <w:r>
        <w:t xml:space="preserve">результаты рассмотрения </w:t>
      </w:r>
      <w:r>
        <w:t xml:space="preserve">ценовых предложений Участников</w:t>
      </w:r>
      <w:r>
        <w:t xml:space="preserve"> с 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</w:t>
      </w:r>
      <w:r>
        <w:t xml:space="preserve">результатам рассмотрения </w:t>
      </w:r>
      <w:r>
        <w:t xml:space="preserve">ценовых предложений);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3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3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ценовых </w:t>
      </w:r>
      <w:r>
        <w:t xml:space="preserve">предложений, </w:t>
      </w:r>
      <w:r>
        <w:t xml:space="preserve">в том числе с учетом результатов актуализации статуса аккредитации (если указанная процедура проводилась), в ранжировке заявок</w:t>
      </w:r>
      <w:r>
        <w:t xml:space="preserve">;</w:t>
      </w:r>
      <w:r/>
    </w:p>
    <w:p>
      <w:pPr>
        <w:pStyle w:val="1113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13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16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12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12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12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11"/>
      </w:pPr>
      <w:r/>
      <w:bookmarkStart w:id="434" w:name="_Toc34"/>
      <w:r/>
      <w:bookmarkStart w:id="190" w:name="_Ref125364149"/>
      <w:r/>
      <w:bookmarkStart w:id="191" w:name="_Ref125364187"/>
      <w:r/>
      <w:bookmarkStart w:id="192" w:name="_Ref125365305"/>
      <w:r/>
      <w:bookmarkStart w:id="193" w:name="_Ref125365570"/>
      <w:r/>
      <w:bookmarkStart w:id="194" w:name="_Ref125366631"/>
      <w:r/>
      <w:bookmarkStart w:id="195" w:name="_Ref125366796"/>
      <w:r/>
      <w:bookmarkEnd w:id="169"/>
      <w:r/>
      <w:bookmarkEnd w:id="178"/>
      <w:r>
        <w:t xml:space="preserve">Признание закупки несостоявшейся</w:t>
      </w:r>
      <w:bookmarkEnd w:id="190"/>
      <w:r/>
      <w:bookmarkEnd w:id="191"/>
      <w:r/>
      <w:bookmarkEnd w:id="192"/>
      <w:r/>
      <w:bookmarkEnd w:id="193"/>
      <w:r/>
      <w:bookmarkEnd w:id="194"/>
      <w:r/>
      <w:bookmarkEnd w:id="195"/>
      <w:r/>
      <w:bookmarkEnd w:id="434"/>
      <w:r/>
      <w:r/>
    </w:p>
    <w:p>
      <w:pPr>
        <w:pStyle w:val="1112"/>
        <w:keepNext/>
      </w:pPr>
      <w:r/>
      <w:bookmarkStart w:id="197" w:name="_Ref214290100"/>
      <w:r>
        <w:t xml:space="preserve">Закупка признается несостоявшейся в следующих случаях:</w:t>
      </w:r>
      <w:bookmarkEnd w:id="197"/>
      <w:r/>
      <w:r/>
    </w:p>
    <w:p>
      <w:pPr>
        <w:pStyle w:val="1113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13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13"/>
      </w:pPr>
      <w:r>
        <w:t xml:space="preserve">по результатам проведения процедуры аукциона не поступило ни одного ценового предложения Участника</w:t>
      </w:r>
      <w:r>
        <w:t xml:space="preserve"> – ценовой ставки;</w:t>
      </w:r>
      <w:r/>
    </w:p>
    <w:p>
      <w:pPr>
        <w:pStyle w:val="1113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;</w:t>
      </w:r>
      <w:r/>
    </w:p>
    <w:p>
      <w:pPr>
        <w:pStyle w:val="1113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</w:t>
      </w:r>
      <w:r>
        <w:t xml:space="preserve">;</w:t>
      </w:r>
      <w:r/>
    </w:p>
    <w:p>
      <w:pPr>
        <w:pStyle w:val="1113"/>
      </w:pPr>
      <w:r/>
      <w:bookmarkStart w:id="198" w:name="_Hlk219297033"/>
      <w:r>
        <w:t xml:space="preserve">по результатам проведения </w:t>
      </w:r>
      <w:r>
        <w:t xml:space="preserve">закупки </w:t>
      </w:r>
      <w:r>
        <w:t xml:space="preserve">от заключения договора уклонились все </w:t>
      </w:r>
      <w:r>
        <w:t xml:space="preserve">допущенные У</w:t>
      </w:r>
      <w:r>
        <w:t xml:space="preserve">частники</w:t>
      </w:r>
      <w:r>
        <w:t xml:space="preserve"> (подраздел</w:t>
      </w:r>
      <w:bookmarkEnd w:id="198"/>
      <w:r>
        <w:t xml:space="preserve"> </w:t>
      </w:r>
      <w:r>
        <w:fldChar w:fldCharType="begin"/>
      </w:r>
      <w:r>
        <w:instrText xml:space="preserve"> REF _Ref125367068 \r \h </w:instrText>
      </w:r>
      <w:r>
        <w:fldChar w:fldCharType="separate"/>
      </w:r>
      <w:r>
        <w:t xml:space="preserve">5.3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12"/>
        <w:keepNext/>
      </w:pPr>
      <w:r>
        <w:t xml:space="preserve">В случае признания закупки несостоявшейся (с учетом условий, предусмотренных Положением о закупке):</w:t>
      </w:r>
      <w:r/>
    </w:p>
    <w:p>
      <w:pPr>
        <w:pStyle w:val="1113"/>
      </w:pPr>
      <w:r/>
      <w:bookmarkStart w:id="199" w:name="_Hlk214281841"/>
      <w:r>
        <w:t xml:space="preserve">если поступила только 1 (одна) заявка от одного Участника (с учетом отозванных</w:t>
      </w:r>
      <w:r>
        <w:t xml:space="preserve"> </w:t>
      </w:r>
      <w:r>
        <w:t xml:space="preserve">Участник</w:t>
      </w:r>
      <w:r>
        <w:t xml:space="preserve">ами</w:t>
      </w:r>
      <w:r>
        <w:t xml:space="preserve"> заявок), либо по результатам рассмотрения заявок</w:t>
      </w:r>
      <w:r>
        <w:t xml:space="preserve"> (частей заявок, ценовых предложений в соответствии с пунктом </w:t>
      </w:r>
      <w:r>
        <w:fldChar w:fldCharType="begin"/>
      </w:r>
      <w:r>
        <w:instrText xml:space="preserve"> REF _Ref214290100 \r \h </w:instrText>
      </w:r>
      <w:r>
        <w:fldChar w:fldCharType="separate"/>
      </w:r>
      <w:r>
        <w:t xml:space="preserve">4.19.1</w:t>
      </w:r>
      <w:r>
        <w:fldChar w:fldCharType="end"/>
      </w:r>
      <w:r>
        <w:t xml:space="preserve">) </w:t>
      </w:r>
      <w:r>
        <w:t xml:space="preserve">принято решение о признании только 1 (одной) заявки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 – Заказчик заключает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 </w:t>
      </w:r>
      <w:r>
        <w:t xml:space="preserve">(при наличии экономической целесообразности и/или при условии отсутствия времени на повторное проведение закупки).</w:t>
      </w:r>
      <w:r/>
    </w:p>
    <w:p>
      <w:pPr>
        <w:pStyle w:val="1162"/>
        <w:numPr>
          <w:ilvl w:val="0"/>
          <w:numId w:val="0"/>
        </w:numPr>
        <w:ind w:left="1701"/>
        <w:rPr>
          <w:sz w:val="26"/>
          <w:szCs w:val="26"/>
        </w:rPr>
      </w:pPr>
      <w:r>
        <w:rPr>
          <w:sz w:val="26"/>
          <w:szCs w:val="26"/>
        </w:rPr>
        <w:t xml:space="preserve">В случае отсутствия экономической целесообразности и/или при наличии времени на повторное проведение закупки, Заказчик </w:t>
      </w:r>
      <w:r>
        <w:rPr>
          <w:sz w:val="26"/>
          <w:szCs w:val="26"/>
        </w:rPr>
        <w:t xml:space="preserve">принимает</w:t>
      </w:r>
      <w:r>
        <w:rPr>
          <w:sz w:val="26"/>
          <w:szCs w:val="26"/>
        </w:rPr>
        <w:t xml:space="preserve"> одно из следующих решений в порядке приоритета: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7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повторное проведение закупки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в том числе с возможностью снятия признака закупки только среди субъектов МСП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7"/>
        </w:numPr>
        <w:ind w:left="1701" w:firstLine="0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отказ от заключения договора по следующим основаниям: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финансовых, инвестиционных, производственных и иных программ, оказавших влияние на потребность в данной закупке;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потребности в продукции, в том числе изменение характеристик продукции, при наличии утверждения таких изменений;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необходимость исполнения предписаний антимонопольного органа;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7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отказ от дополнительного повторного проведения закупки (при отсутствии заявок, соответствующих установленным требованиям, по результатам повторного проведения закупки);</w:t>
      </w:r>
      <w:bookmarkEnd w:id="199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13"/>
      </w:pPr>
      <w:r>
        <w:t xml:space="preserve">если не поступило ни одной заявки</w:t>
      </w:r>
      <w:r>
        <w:t xml:space="preserve"> (ни одного ценового предложения </w:t>
      </w:r>
      <w:r>
        <w:t xml:space="preserve">по результатам проведения процедуры аукциона</w:t>
      </w:r>
      <w:r>
        <w:t xml:space="preserve"> в соответствии с пунктом </w:t>
      </w:r>
      <w:r>
        <w:fldChar w:fldCharType="begin"/>
      </w:r>
      <w:r>
        <w:instrText xml:space="preserve"> REF _Ref214290100 \r \h </w:instrText>
      </w:r>
      <w:r>
        <w:fldChar w:fldCharType="separate"/>
      </w:r>
      <w:r>
        <w:t xml:space="preserve">4.19.1</w:t>
      </w:r>
      <w:r>
        <w:fldChar w:fldCharType="end"/>
      </w:r>
      <w:r>
        <w:t xml:space="preserve">)</w:t>
      </w:r>
      <w:r>
        <w:t xml:space="preserve">, либо по результатам рассмотрения заявок (</w:t>
      </w:r>
      <w:r>
        <w:t xml:space="preserve">частей заявок, ценовых предложений в соответствии с пунктом </w:t>
      </w:r>
      <w:r>
        <w:fldChar w:fldCharType="begin"/>
      </w:r>
      <w:r>
        <w:instrText xml:space="preserve"> REF _Ref214290100 \r \h </w:instrText>
      </w:r>
      <w:r>
        <w:fldChar w:fldCharType="separate"/>
      </w:r>
      <w:r>
        <w:t xml:space="preserve">4.19.1</w:t>
      </w:r>
      <w:r>
        <w:fldChar w:fldCharType="end"/>
      </w:r>
      <w:r>
        <w:t xml:space="preserve">), принято решение о признании их не соответствующими требованиям </w:t>
      </w:r>
      <w:r>
        <w:t xml:space="preserve">Д</w:t>
      </w:r>
      <w:r>
        <w:t xml:space="preserve">окументации о закупке</w:t>
      </w:r>
      <w:r>
        <w:t xml:space="preserve">, </w:t>
      </w:r>
      <w:bookmarkStart w:id="200" w:name="_Hlk219297054"/>
      <w:r>
        <w:t xml:space="preserve">либо </w:t>
      </w:r>
      <w:r>
        <w:t xml:space="preserve">по результатам проведения </w:t>
      </w:r>
      <w:r>
        <w:t xml:space="preserve">закупки </w:t>
      </w:r>
      <w:r>
        <w:t xml:space="preserve">от заключения договора уклонились все </w:t>
      </w:r>
      <w:r>
        <w:t xml:space="preserve">допущенные У</w:t>
      </w:r>
      <w:r>
        <w:t xml:space="preserve">частники</w:t>
      </w:r>
      <w:bookmarkEnd w:id="200"/>
      <w:r>
        <w:t xml:space="preserve"> </w:t>
      </w:r>
      <w:r>
        <w:t xml:space="preserve">– Заказчик проводит повторную закупку (</w:t>
      </w:r>
      <w:r>
        <w:rPr>
          <w:szCs w:val="26"/>
        </w:rPr>
        <w:t xml:space="preserve">в том числе с возможностью снятия признака закупки только среди субъектов МСП</w:t>
      </w:r>
      <w:r>
        <w:t xml:space="preserve">)</w:t>
      </w:r>
      <w:r>
        <w:t xml:space="preserve">.</w:t>
      </w:r>
      <w:r/>
    </w:p>
    <w:p>
      <w:pPr>
        <w:pStyle w:val="1162"/>
        <w:numPr>
          <w:ilvl w:val="0"/>
          <w:numId w:val="0"/>
        </w:numPr>
        <w:ind w:left="1701"/>
        <w:rPr>
          <w:sz w:val="26"/>
          <w:szCs w:val="26"/>
        </w:rPr>
      </w:pPr>
      <w:r>
        <w:rPr>
          <w:sz w:val="26"/>
          <w:szCs w:val="26"/>
        </w:rPr>
        <w:t xml:space="preserve">Заказчик вправе отказаться от проведения повторной закупки по следующим основаниям: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финансовых, инвестиционных, производственных и иных программ, оказавших влияние на потребность в данной закупке;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потребности в продукции, в том числе изменение характеристик продукции;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 отсутствии заявок, соответствующих установленным требованиям, по результатам повторного проведения закупки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11"/>
      </w:pPr>
      <w:r/>
      <w:bookmarkStart w:id="435" w:name="_Toc35"/>
      <w:r/>
      <w:bookmarkStart w:id="205" w:name="_Ref126141962"/>
      <w:r/>
      <w:bookmarkStart w:id="206" w:name="_Ref132816134"/>
      <w:r/>
      <w:bookmarkStart w:id="207" w:name="_Ref132816141"/>
      <w:r>
        <w:t xml:space="preserve">Отказ от проведения закупки</w:t>
      </w:r>
      <w:bookmarkEnd w:id="205"/>
      <w:r>
        <w:t xml:space="preserve"> (отмена закупки)</w:t>
      </w:r>
      <w:bookmarkEnd w:id="206"/>
      <w:r/>
      <w:bookmarkEnd w:id="207"/>
      <w:r/>
      <w:bookmarkEnd w:id="435"/>
      <w:r/>
      <w:r/>
    </w:p>
    <w:p>
      <w:pPr>
        <w:pStyle w:val="1112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12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12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11"/>
      </w:pPr>
      <w:r/>
      <w:bookmarkStart w:id="436" w:name="_Toc36"/>
      <w:r/>
      <w:bookmarkStart w:id="209" w:name="_Ref130455226"/>
      <w:r/>
      <w:bookmarkStart w:id="211" w:name="_Ref130225422"/>
      <w:r/>
      <w:bookmarkStart w:id="212" w:name="_Ref125361212"/>
      <w:r/>
      <w:bookmarkStart w:id="213" w:name="_Ref125362671"/>
      <w:r/>
      <w:bookmarkStart w:id="214" w:name="_Ref125363439"/>
      <w:r/>
      <w:bookmarkStart w:id="215" w:name="_Ref125366769"/>
      <w:r/>
      <w:bookmarkStart w:id="216" w:name="_Ref125367083"/>
      <w:r/>
      <w:bookmarkStart w:id="217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209"/>
      <w:r/>
      <w:bookmarkEnd w:id="436"/>
      <w:r/>
      <w:r/>
    </w:p>
    <w:p>
      <w:pPr>
        <w:pStyle w:val="1112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12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12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12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24"/>
        </w:rPr>
        <w:footnoteReference w:id="11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12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</w:t>
      </w:r>
      <w:r>
        <w:t xml:space="preserve">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12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12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12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13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13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4.21.8(л)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4.21.14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13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13"/>
      </w:pPr>
      <w:r/>
      <w:bookmarkStart w:id="218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218"/>
      <w:r/>
      <w:r/>
    </w:p>
    <w:p>
      <w:pPr>
        <w:pStyle w:val="1113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13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12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12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12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4.22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12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12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12"/>
        <w:keepNext/>
      </w:pPr>
      <w:r/>
      <w:bookmarkStart w:id="219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219"/>
      <w:r/>
      <w:r/>
    </w:p>
    <w:p>
      <w:pPr>
        <w:pStyle w:val="1113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Проектом договора</w:t>
        </w:r>
      </w:hyperlink>
      <w:r>
        <w:t xml:space="preserve">).</w:t>
      </w:r>
      <w:r/>
    </w:p>
    <w:p>
      <w:pPr>
        <w:pStyle w:val="1112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13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13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13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13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13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12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11"/>
      </w:pPr>
      <w:r/>
      <w:bookmarkStart w:id="437" w:name="_Toc37"/>
      <w:r/>
      <w:bookmarkStart w:id="220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211"/>
      <w:r/>
      <w:bookmarkEnd w:id="220"/>
      <w:r/>
      <w:bookmarkEnd w:id="437"/>
      <w:r/>
      <w:r/>
    </w:p>
    <w:p>
      <w:pPr>
        <w:pStyle w:val="1112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12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12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12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12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13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13"/>
      </w:pPr>
      <w:r>
        <w:t xml:space="preserve">Коммерческое предложение (форма 3), Техническое предложение (форма 4),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4</w:t>
      </w:r>
      <w:r>
        <w:t xml:space="preserve">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</w:t>
      </w:r>
      <w:r>
        <w:t xml:space="preserve"> </w:t>
      </w:r>
      <w:r>
        <w:t xml:space="preserve">лотов с указанием номера и названия лота.</w:t>
      </w:r>
      <w:r/>
    </w:p>
    <w:p>
      <w:pPr>
        <w:pStyle w:val="1112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10"/>
      </w:pPr>
      <w:r/>
      <w:bookmarkStart w:id="438" w:name="_Toc38"/>
      <w:r/>
      <w:bookmarkStart w:id="226" w:name="_Ref126142429"/>
      <w:r/>
      <w:bookmarkStart w:id="227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212"/>
      <w:r/>
      <w:bookmarkEnd w:id="213"/>
      <w:r/>
      <w:bookmarkEnd w:id="214"/>
      <w:r/>
      <w:bookmarkEnd w:id="215"/>
      <w:r/>
      <w:bookmarkEnd w:id="216"/>
      <w:r/>
      <w:bookmarkEnd w:id="217"/>
      <w:r/>
      <w:bookmarkEnd w:id="226"/>
      <w:r/>
      <w:bookmarkEnd w:id="227"/>
      <w:r/>
      <w:bookmarkEnd w:id="438"/>
      <w:r/>
      <w:r/>
    </w:p>
    <w:p>
      <w:pPr>
        <w:pStyle w:val="1111"/>
      </w:pPr>
      <w:r/>
      <w:bookmarkStart w:id="439" w:name="_Toc39"/>
      <w:r/>
      <w:bookmarkStart w:id="230" w:name="_Ref125366947"/>
      <w:r/>
      <w:bookmarkStart w:id="231" w:name="_Ref125368755"/>
      <w:r>
        <w:t xml:space="preserve">Общие положения</w:t>
      </w:r>
      <w:bookmarkEnd w:id="439"/>
      <w:r/>
      <w:r/>
    </w:p>
    <w:p>
      <w:pPr>
        <w:pStyle w:val="1112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11"/>
      </w:pPr>
      <w:r/>
      <w:bookmarkStart w:id="440" w:name="_Toc40"/>
      <w:r/>
      <w:bookmarkStart w:id="232" w:name="_Ref138341423"/>
      <w:r>
        <w:t xml:space="preserve">Заключение Договора</w:t>
      </w:r>
      <w:bookmarkEnd w:id="230"/>
      <w:r/>
      <w:bookmarkEnd w:id="231"/>
      <w:r/>
      <w:bookmarkEnd w:id="232"/>
      <w:r/>
      <w:bookmarkEnd w:id="440"/>
      <w:r/>
      <w:r/>
    </w:p>
    <w:p>
      <w:pPr>
        <w:pStyle w:val="1112"/>
      </w:pPr>
      <w:r/>
      <w:bookmarkStart w:id="234" w:name="_Ref125362935"/>
      <w:r/>
      <w:bookmarkStart w:id="235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34"/>
      <w:r/>
      <w:bookmarkEnd w:id="235"/>
      <w:r/>
      <w:r/>
    </w:p>
    <w:p>
      <w:pPr>
        <w:pStyle w:val="1112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режиме.</w:t>
      </w:r>
      <w:r/>
    </w:p>
    <w:p>
      <w:pPr>
        <w:pStyle w:val="1112"/>
      </w:pPr>
      <w:r/>
      <w:bookmarkStart w:id="236" w:name="_Hlk207813671"/>
      <w:r>
        <w:t xml:space="preserve">При осуществлении закупки товара (в том числе поставляемого Заказчику при</w:t>
      </w:r>
      <w:r>
        <w:t xml:space="preserve"> </w:t>
      </w:r>
      <w:r>
        <w:t xml:space="preserve">выполнении работ, оказании услуг) в Договор при его заключении включается информация о стране происхождения товара.</w:t>
      </w:r>
      <w:r/>
    </w:p>
    <w:p>
      <w:pPr>
        <w:pStyle w:val="1112"/>
      </w:pPr>
      <w:r/>
      <w:bookmarkStart w:id="237" w:name="_Ref125363464"/>
      <w:r>
        <w:t xml:space="preserve">В целях </w:t>
      </w:r>
      <w:r>
        <w:rPr>
          <w:rFonts w:eastAsia="Calibri" w:cs="Times New Roman"/>
        </w:rPr>
        <w:t xml:space="preserve">обеспечения дополнительной прозрачности финансово-хозяйственной деятельности сторон при</w:t>
      </w:r>
      <w:r>
        <w:t xml:space="preserve"> заключения Договора </w:t>
      </w:r>
      <w:r>
        <w:rPr>
          <w:rFonts w:eastAsia="Calibri" w:cs="Times New Roman"/>
        </w:rPr>
        <w:t xml:space="preserve">в части отсутствия возможного конфликта интересов между Заказчиком и</w:t>
      </w:r>
      <w:r>
        <w:t xml:space="preserve"> Участником, признанным Победителем, последний обязан направить в адрес Заказчика Справку «Сведения о цепочке собственников, включая бенефициаров (в том числе конечных)», по форме в соответствии с 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5</w:t>
        </w:r>
      </w:hyperlink>
      <w:r>
        <w:t xml:space="preserve">, с приложением подтверждающих документов согласно перечню, установленному в Приложении 1 к указанной справке, одним из способов (на выбор)</w:t>
      </w:r>
      <w:r>
        <w:t xml:space="preserve">:</w:t>
      </w:r>
      <w:bookmarkEnd w:id="237"/>
      <w:r/>
      <w:r/>
    </w:p>
    <w:p>
      <w:pPr>
        <w:pStyle w:val="1113"/>
      </w:pPr>
      <w:r>
        <w:t xml:space="preserve">в бумажной форме: по адресу, определенному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место подачи документов в отношении цепочки собственников, включая конечных бенефициаров (в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</w:t>
      </w:r>
      <w:r>
        <w:t xml:space="preserve"> </w:t>
      </w:r>
      <w:r>
        <w:t xml:space="preserve">результатам закупки). Требуемые документы должны быть предоставлены в бумажном виде и на электронном носителе в отдельном запечатанном конверте с надписью «Документы Победителя о цепочке собственников»;</w:t>
      </w:r>
      <w:r/>
    </w:p>
    <w:p>
      <w:pPr>
        <w:pStyle w:val="1113"/>
        <w:rPr>
          <w:color w:val="auto"/>
        </w:rPr>
      </w:pPr>
      <w:r>
        <w:rPr>
          <w:color w:val="auto"/>
        </w:rPr>
        <w:t xml:space="preserve">в электронной форме: через специально созданную на корпоративном сайте ПАО «РусГидро» учетную запись Победителя </w:t>
      </w:r>
      <w:r>
        <w:rPr>
          <w:rFonts w:eastAsia="Calibri" w:cs="Times New Roman"/>
          <w:color w:val="auto"/>
        </w:rPr>
        <w:t xml:space="preserve">в «Личном кабинете контрагента»</w:t>
      </w:r>
      <w:r>
        <w:rPr>
          <w:color w:val="auto"/>
        </w:rPr>
        <w:t xml:space="preserve"> (в срок не позднее 3 (трех) рабочих дней с даты получения уведомления о необходимости предоставить информацию о </w:t>
      </w:r>
      <w:r>
        <w:rPr>
          <w:rFonts w:eastAsia="Calibri" w:cs="Times New Roman"/>
          <w:color w:val="auto"/>
        </w:rPr>
        <w:t xml:space="preserve">цепочке собственников, включая бенефициаров (в том числе конечных)</w:t>
      </w:r>
      <w:r>
        <w:rPr>
          <w:color w:val="auto"/>
        </w:rPr>
        <w:t xml:space="preserve">. Уведомление (со ссылкой на учетную запись) направляется на указанный в заявке Победителя (в Анкете Участника (форма 5) (</w:t>
      </w:r>
      <w:hyperlink w:tooltip="#Прил04_ФормыЗаявки" w:anchor="Прил04_ФормыЗаявки" w:history="1">
        <w:r>
          <w:rPr>
            <w:rStyle w:val="1140"/>
            <w:color w:val="auto"/>
          </w:rPr>
          <w:t xml:space="preserve">Приложения № 4</w:t>
        </w:r>
      </w:hyperlink>
      <w:r>
        <w:rPr>
          <w:color w:val="auto"/>
        </w:rPr>
        <w:t xml:space="preserve">)) адрес электронной почты ответственного лица)</w:t>
      </w:r>
      <w:bookmarkEnd w:id="236"/>
      <w:r>
        <w:rPr>
          <w:color w:val="auto"/>
        </w:rPr>
        <w:t xml:space="preserve">.</w:t>
      </w:r>
      <w:r>
        <w:rPr>
          <w:color w:val="auto"/>
        </w:rPr>
      </w:r>
      <w:r>
        <w:rPr>
          <w:color w:val="auto"/>
        </w:rPr>
      </w:r>
    </w:p>
    <w:p>
      <w:pPr>
        <w:pStyle w:val="1112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bookmarkStart w:id="238" w:name="_Hlk207813750"/>
      <w:r>
        <w:t xml:space="preserve">Portable Document Format (</w:t>
      </w:r>
      <w:r>
        <w:rPr>
          <w:lang w:val="en-US"/>
        </w:rPr>
        <w:t xml:space="preserve">pdf</w:t>
      </w:r>
      <w:r>
        <w:t xml:space="preserve">)</w:t>
      </w:r>
      <w:bookmarkEnd w:id="238"/>
      <w:r>
        <w:t xml:space="preserve">)</w:t>
      </w:r>
      <w:r>
        <w:t xml:space="preserve"> </w:t>
      </w:r>
      <w:r>
        <w:t xml:space="preserve">Заверение об</w:t>
      </w:r>
      <w:r>
        <w:t xml:space="preserve"> 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</w:t>
      </w:r>
      <w:r>
        <w:t xml:space="preserve">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5</w:t>
        </w:r>
      </w:hyperlink>
      <w:r>
        <w:t xml:space="preserve">.</w:t>
      </w:r>
      <w:r/>
    </w:p>
    <w:p>
      <w:pPr>
        <w:pStyle w:val="1112"/>
        <w:keepNext/>
      </w:pPr>
      <w:r/>
      <w:bookmarkStart w:id="239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t xml:space="preserve">Portable Document Format (</w:t>
      </w:r>
      <w:r>
        <w:rPr>
          <w:lang w:val="en-US"/>
        </w:rPr>
        <w:t xml:space="preserve">pdf</w:t>
      </w:r>
      <w:r>
        <w:t xml:space="preserve">)</w:t>
      </w:r>
      <w:r>
        <w:t xml:space="preserve">)</w:t>
      </w:r>
      <w:r>
        <w:t xml:space="preserve">:</w:t>
      </w:r>
      <w:bookmarkEnd w:id="239"/>
      <w:r/>
      <w:r/>
    </w:p>
    <w:p>
      <w:pPr>
        <w:pStyle w:val="1113"/>
        <w:keepNext/>
      </w:pPr>
      <w:r>
        <w:t xml:space="preserve">для юридического лица:</w:t>
      </w:r>
      <w:r/>
    </w:p>
    <w:p>
      <w:pPr>
        <w:pStyle w:val="1114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14"/>
      </w:pPr>
      <w:r/>
      <w:bookmarkStart w:id="240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40"/>
      <w:r/>
      <w:r/>
    </w:p>
    <w:p>
      <w:pPr>
        <w:pStyle w:val="1114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13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13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</w:t>
      </w:r>
      <w:r>
        <w:t xml:space="preserve">.</w:t>
      </w:r>
      <w:r/>
    </w:p>
    <w:p>
      <w:pPr>
        <w:pStyle w:val="1112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12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12"/>
        <w:keepNext/>
      </w:pPr>
      <w:r/>
      <w:bookmarkStart w:id="241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41"/>
      <w:r/>
      <w:r/>
    </w:p>
    <w:p>
      <w:pPr>
        <w:pStyle w:val="1113"/>
      </w:pPr>
      <w:r>
        <w:t xml:space="preserve">итоговый протокол по результатам закупки;</w:t>
      </w:r>
      <w:r/>
    </w:p>
    <w:p>
      <w:pPr>
        <w:pStyle w:val="1113"/>
      </w:pPr>
      <w:r>
        <w:t xml:space="preserve">Извещение и Документация о закупке со всеми изменениями;</w:t>
      </w:r>
      <w:r/>
    </w:p>
    <w:p>
      <w:pPr>
        <w:pStyle w:val="1113"/>
      </w:pPr>
      <w:r>
        <w:t xml:space="preserve">заявка Победителя со всеми дополнениями и разъяснениями.</w:t>
      </w:r>
      <w:r/>
    </w:p>
    <w:p>
      <w:pPr>
        <w:pStyle w:val="1112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12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12"/>
      </w:pPr>
      <w:r/>
      <w:bookmarkStart w:id="242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42"/>
      <w:r/>
      <w:r/>
    </w:p>
    <w:p>
      <w:pPr>
        <w:pStyle w:val="1112"/>
      </w:pPr>
      <w:r/>
      <w:bookmarkStart w:id="243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44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44"/>
      <w:r>
        <w:t xml:space="preserve">.</w:t>
      </w:r>
      <w:bookmarkEnd w:id="243"/>
      <w:r/>
      <w:r/>
    </w:p>
    <w:p>
      <w:pPr>
        <w:pStyle w:val="1112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11"/>
      </w:pPr>
      <w:r/>
      <w:bookmarkStart w:id="441" w:name="_Toc41"/>
      <w:r/>
      <w:bookmarkStart w:id="245" w:name="_Ref125367068"/>
      <w:r>
        <w:t xml:space="preserve">Уклонение Победителя от заключения Договора</w:t>
      </w:r>
      <w:bookmarkEnd w:id="245"/>
      <w:r/>
      <w:bookmarkEnd w:id="441"/>
      <w:r/>
      <w:r/>
    </w:p>
    <w:p>
      <w:pPr>
        <w:pStyle w:val="1112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13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5.2.9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13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</w:t>
      </w:r>
      <w:r>
        <w:t xml:space="preserve">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</w:t>
        </w:r>
        <w:r>
          <w:rPr>
            <w:rStyle w:val="1140"/>
          </w:rPr>
          <w:t xml:space="preserve">5</w:t>
        </w:r>
      </w:hyperlink>
      <w:r>
        <w:t xml:space="preserve">;</w:t>
      </w:r>
      <w:r/>
    </w:p>
    <w:p>
      <w:pPr>
        <w:pStyle w:val="1113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40"/>
          </w:rPr>
          <w:t xml:space="preserve">Приложения 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 </w:t>
        </w:r>
        <w:r>
          <w:rPr>
            <w:rStyle w:val="1140"/>
          </w:rPr>
          <w:t xml:space="preserve">– </w:t>
        </w:r>
        <w:r>
          <w:rPr>
            <w:rStyle w:val="1140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13"/>
      </w:pPr>
      <w:r>
        <w:t xml:space="preserve">не предоставит обеспечение исполнения договора</w:t>
      </w:r>
      <w:r>
        <w:t xml:space="preserve"> </w:t>
      </w:r>
      <w:r>
        <w:t xml:space="preserve">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обязательствами;</w:t>
      </w:r>
      <w:r/>
    </w:p>
    <w:p>
      <w:pPr>
        <w:pStyle w:val="1113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16"/>
        <w:ind w:left="1134"/>
      </w:pPr>
      <w:r>
        <w:t xml:space="preserve">то он </w:t>
      </w:r>
      <w:r>
        <w:t xml:space="preserve">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 </w:t>
      </w:r>
      <w:r>
        <w:t xml:space="preserve">призна</w:t>
      </w:r>
      <w:r>
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10"/>
      </w:pPr>
      <w:r/>
      <w:bookmarkStart w:id="442" w:name="_Toc42"/>
      <w:r/>
      <w:bookmarkStart w:id="247" w:name="_Ref125363016"/>
      <w:r/>
      <w:bookmarkStart w:id="248" w:name="_Ref125363023"/>
      <w:r/>
      <w:bookmarkStart w:id="249" w:name="_Ref125363034"/>
      <w:r/>
      <w:bookmarkStart w:id="250" w:name="_Ref125363600"/>
      <w:r/>
      <w:bookmarkStart w:id="251" w:name="_Ref125363752"/>
      <w:r/>
      <w:bookmarkStart w:id="252" w:name="_Ref125364088"/>
      <w:r/>
      <w:bookmarkStart w:id="253" w:name="_Ref125364201"/>
      <w:r/>
      <w:bookmarkStart w:id="254" w:name="_Ref125370732"/>
      <w:r/>
      <w:bookmarkStart w:id="255" w:name="_Ref125370741"/>
      <w:r/>
      <w:bookmarkStart w:id="256" w:name="_Ref125370746"/>
      <w:r/>
      <w:bookmarkStart w:id="257" w:name="_Ref125370750"/>
      <w:r/>
      <w:bookmarkStart w:id="258" w:name="_Ref125370843"/>
      <w:r/>
      <w:bookmarkStart w:id="259" w:name="Прил01_ТехТребования"/>
      <w:r>
        <w:t xml:space="preserve">Приложение № 1 – Технические требования</w:t>
      </w:r>
      <w:bookmarkEnd w:id="247"/>
      <w:r/>
      <w:bookmarkEnd w:id="248"/>
      <w:r/>
      <w:bookmarkEnd w:id="249"/>
      <w:r/>
      <w:bookmarkEnd w:id="250"/>
      <w:r/>
      <w:bookmarkEnd w:id="251"/>
      <w:r/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442"/>
      <w:r/>
      <w:r/>
    </w:p>
    <w:p>
      <w:pPr>
        <w:pStyle w:val="1111"/>
      </w:pPr>
      <w:r/>
      <w:bookmarkStart w:id="443" w:name="_Toc43"/>
      <w:r>
        <w:t xml:space="preserve">Пояснения к Техническим требованиям</w:t>
      </w:r>
      <w:bookmarkEnd w:id="443"/>
      <w:r/>
      <w:r/>
    </w:p>
    <w:p>
      <w:pPr>
        <w:pStyle w:val="1112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10"/>
      </w:pPr>
      <w:r/>
      <w:bookmarkStart w:id="444" w:name="_Toc44"/>
      <w:r/>
      <w:bookmarkStart w:id="262" w:name="_Ref125361746"/>
      <w:r/>
      <w:bookmarkStart w:id="263" w:name="_Ref125363040"/>
      <w:r/>
      <w:bookmarkStart w:id="264" w:name="_Ref125363605"/>
      <w:r/>
      <w:bookmarkStart w:id="265" w:name="_Ref125363759"/>
      <w:r/>
      <w:bookmarkStart w:id="266" w:name="_Ref125364081"/>
      <w:r/>
      <w:bookmarkStart w:id="267" w:name="_Ref125364206"/>
      <w:r/>
      <w:bookmarkStart w:id="268" w:name="_Ref125370754"/>
      <w:r/>
      <w:bookmarkStart w:id="269" w:name="Прил02_ПроектДоговора"/>
      <w:r>
        <w:t xml:space="preserve">Приложение № 2 – Проект договора</w:t>
      </w:r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bookmarkEnd w:id="268"/>
      <w:r/>
      <w:bookmarkEnd w:id="269"/>
      <w:r/>
      <w:bookmarkEnd w:id="444"/>
      <w:r/>
      <w:r/>
    </w:p>
    <w:p>
      <w:pPr>
        <w:pStyle w:val="1111"/>
      </w:pPr>
      <w:r/>
      <w:bookmarkStart w:id="445" w:name="_Toc45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45"/>
      <w:r/>
      <w:r/>
    </w:p>
    <w:p>
      <w:pPr>
        <w:pStyle w:val="1112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12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12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5.2.12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12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16"/>
        <w:jc w:val="center"/>
      </w:pPr>
      <w:r/>
      <w:bookmarkStart w:id="272" w:name="_MON_1736255517"/>
      <w:r/>
      <w:bookmarkEnd w:id="272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19175" cy="657860"/>
                <wp:effectExtent l="0" t="0" r="0" b="0"/>
                <wp:docPr id="2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9">
                          <a:extLst>
                            <a:ext uri="{96DAC541-7B7A-43D3-8B79-37D633B846F1}">
                              <asvg:svgBlip xmlns:asvg="http://schemas.microsoft.com/office/drawing/2016/SVG/main" r:embed="rId2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19174" cy="65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80.25pt;height:51.80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46" w:name="_Toc46"/>
      <w:r/>
      <w:bookmarkStart w:id="273" w:name="_Ref125361494"/>
      <w:r/>
      <w:bookmarkStart w:id="274" w:name="_Ref125361908"/>
      <w:r/>
      <w:bookmarkStart w:id="275" w:name="_Ref125365476"/>
      <w:r/>
      <w:bookmarkStart w:id="276" w:name="_Ref125370013"/>
      <w:r/>
      <w:bookmarkStart w:id="277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73"/>
      <w:r/>
      <w:bookmarkEnd w:id="274"/>
      <w:r/>
      <w:bookmarkEnd w:id="275"/>
      <w:r/>
      <w:bookmarkEnd w:id="276"/>
      <w:r/>
      <w:bookmarkEnd w:id="277"/>
      <w:r/>
      <w:bookmarkEnd w:id="446"/>
      <w:r/>
      <w:r/>
    </w:p>
    <w:p>
      <w:pPr>
        <w:pStyle w:val="1111"/>
      </w:pPr>
      <w:r/>
      <w:bookmarkStart w:id="447" w:name="_Toc47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47"/>
      <w:r/>
      <w:r/>
    </w:p>
    <w:p>
      <w:pPr>
        <w:pStyle w:val="1112"/>
      </w:pPr>
      <w:r/>
      <w:bookmarkStart w:id="280" w:name="_Hlk125628168"/>
      <w:r>
        <w:t xml:space="preserve">Чтобы претендовать на победу в закупке и получение права заключить Договор с Заказчиком, Участник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80"/>
      <w:r/>
      <w:r/>
    </w:p>
    <w:p>
      <w:pPr>
        <w:pStyle w:val="1111"/>
        <w:spacing w:after="120"/>
      </w:pPr>
      <w:r/>
      <w:bookmarkStart w:id="448" w:name="_Toc48"/>
      <w:r/>
      <w:bookmarkStart w:id="281" w:name="_Ref125361435"/>
      <w:r/>
      <w:bookmarkStart w:id="282" w:name="_Ref125361590"/>
      <w:r/>
      <w:bookmarkStart w:id="283" w:name="_Ref125361617"/>
      <w:r/>
      <w:bookmarkStart w:id="284" w:name="_Ref125361832"/>
      <w:r/>
      <w:bookmarkStart w:id="285" w:name="_Ref125361846"/>
      <w:r/>
      <w:bookmarkStart w:id="286" w:name="_Ref125361926"/>
      <w:r/>
      <w:bookmarkStart w:id="287" w:name="_Ref125366879"/>
      <w:r/>
      <w:bookmarkStart w:id="288" w:name="_Ref125368812"/>
      <w:r/>
      <w:bookmarkStart w:id="289" w:name="_Ref125368895"/>
      <w:r/>
      <w:bookmarkStart w:id="290" w:name="_Ref125369088"/>
      <w:r/>
      <w:bookmarkStart w:id="291" w:name="_Ref125370058"/>
      <w:r/>
      <w:bookmarkStart w:id="292" w:name="_Ref125370064"/>
      <w:r/>
      <w:bookmarkStart w:id="293" w:name="_Ref125370071"/>
      <w:r>
        <w:t xml:space="preserve">Обязательные требования</w:t>
      </w:r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291"/>
      <w:r/>
      <w:bookmarkEnd w:id="292"/>
      <w:r/>
      <w:bookmarkEnd w:id="293"/>
      <w:r/>
      <w:bookmarkEnd w:id="448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5" w:name="_Ref125552433"/>
            <w:r/>
            <w:bookmarkEnd w:id="29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</w:t>
            </w:r>
            <w:r>
              <w:t xml:space="preserve">Portable Document Format (</w:t>
            </w:r>
            <w:r>
              <w:t xml:space="preserve">*.pdf)</w:t>
            </w:r>
            <w:r>
              <w:t xml:space="preserve">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16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</w:t>
            </w:r>
            <w:r>
              <w:t xml:space="preserve">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40"/>
                </w:rPr>
                <w:t xml:space="preserve">Приложение №</w:t>
              </w:r>
              <w:r>
                <w:rPr>
                  <w:rStyle w:val="1140"/>
                </w:rPr>
                <w:t xml:space="preserve"> </w:t>
              </w:r>
              <w:r>
                <w:rPr>
                  <w:rStyle w:val="1140"/>
                </w:rPr>
                <w:t xml:space="preserve">1</w:t>
              </w:r>
              <w:r>
                <w:rPr>
                  <w:rStyle w:val="1140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40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16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</w:t>
            </w:r>
            <w:r>
              <w:t xml:space="preserve"> </w:t>
            </w:r>
            <w:r/>
          </w:p>
          <w:p>
            <w:pPr>
              <w:pStyle w:val="1116"/>
              <w:ind w:left="284"/>
            </w:pPr>
            <w:r>
              <w:t xml:space="preserve">Если Участник в соответствии с законодательством формирует отчетность по формам ОКУД 0503730, 0503721 (и</w:t>
            </w:r>
            <w:r>
              <w:t xml:space="preserve"> (или)</w:t>
            </w:r>
            <w:r>
              <w:t xml:space="preserve"> освобожден от предоставления дополнительного экземпляра отчетности для размещения на официальном сайте ФНС России</w:t>
            </w:r>
            <w:r>
              <w:t xml:space="preserve">) </w:t>
            </w:r>
            <w:r>
              <w:t xml:space="preserve">– оценка его </w:t>
            </w:r>
            <w:r>
              <w:t xml:space="preserve">финансового состояния производится на основании представленных вместе с Заявкой на аккредитацию:</w:t>
            </w:r>
            <w:r/>
          </w:p>
          <w:p>
            <w:pPr>
              <w:pStyle w:val="1116"/>
              <w:ind w:left="284"/>
            </w:pPr>
            <w:r>
              <w:t xml:space="preserve">−</w:t>
            </w:r>
            <w:r>
              <w:tab/>
              <w:t xml:space="preserve">электронной копии бухгалтерско</w:t>
            </w:r>
            <w:r>
              <w:t xml:space="preserve">й (финансовой)</w:t>
            </w:r>
            <w:r>
              <w:t xml:space="preserve"> </w:t>
            </w:r>
            <w:r>
              <w:t xml:space="preserve">отчетности </w:t>
            </w:r>
            <w:r>
              <w:t xml:space="preserve">по формам ОКУД 0503730, 0503721 за последний завершенный </w:t>
            </w:r>
            <w:r>
              <w:t xml:space="preserve">и предшествующий ему </w:t>
            </w:r>
            <w:r>
              <w:t xml:space="preserve">финансовый год, с отметкой налогового органа о приеме или с приложением квитанции о приеме и (или) извещения о вводе сведений налоговым органом;</w:t>
            </w:r>
            <w:r/>
          </w:p>
          <w:p>
            <w:pPr>
              <w:pStyle w:val="1116"/>
              <w:ind w:left="284"/>
            </w:pPr>
            <w:r>
              <w:t xml:space="preserve">−</w:t>
            </w:r>
            <w:r>
              <w:tab/>
              <w:t xml:space="preserve">дополнительных сведений о размере всех требуемых показателей согласно данным бухгалтерской (финансовой) отчетности (по форме, представленной в </w:t>
            </w:r>
            <w:hyperlink w:tooltip="#Прил11_Данные_бухотчетность" w:anchor="Прил11_Данные_бухотчетность" w:history="1">
              <w:r>
                <w:rPr>
                  <w:rStyle w:val="1126"/>
                </w:rPr>
                <w:t xml:space="preserve">Приложении № 11</w:t>
              </w:r>
            </w:hyperlink>
            <w:r>
              <w:t xml:space="preserve">).</w:t>
            </w:r>
            <w:r/>
          </w:p>
          <w:p>
            <w:pPr>
              <w:pStyle w:val="1116"/>
              <w:ind w:left="284"/>
            </w:pPr>
            <w:r>
              <w:t xml:space="preserve">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6" w:name="_Ref132893662"/>
            <w:r/>
            <w:bookmarkEnd w:id="29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7" w:name="_Ref139029906"/>
            <w:r/>
            <w:bookmarkEnd w:id="29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24"/>
              </w:rPr>
              <w:footnoteReference w:id="12"/>
            </w:r>
            <w:r>
              <w:t xml:space="preserve">, а также </w:t>
            </w:r>
            <w:r>
              <w:t xml:space="preserve">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24"/>
              </w:rPr>
              <w:footnoteReference w:id="13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</w:t>
            </w:r>
            <w:r>
              <w:rPr>
                <w:i/>
                <w:iCs/>
              </w:rPr>
              <w:t xml:space="preserve">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8" w:name="_Ref186184202"/>
            <w:r/>
            <w:bookmarkEnd w:id="29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а также указание Участником в составе заявки в Коммерческом предложении (форма</w:t>
            </w:r>
            <w:r>
              <w:t xml:space="preserve"> </w:t>
            </w:r>
            <w:r>
              <w:t xml:space="preserve">3)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соответствующих сведений</w:t>
            </w:r>
            <w:r>
              <w:t xml:space="preserve">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 рассмотрения заявок Организатор проверяет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соответствие данному требованию на основании сведений, размещенных на официальных сервисах ФНС России в сети интернет (в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отношении иных стран ЕАЭС – на аналогичных официальных сервисах данных стран).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9" w:name="_Ref186184207"/>
            <w:r/>
            <w:bookmarkEnd w:id="29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</w:t>
            </w:r>
            <w:r>
              <w:t xml:space="preserve">не должен являться иностранным лицом, при наличии заявки, соответствующей всем требованиям Документации о закупке, поданной от российского лица: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Декларация о принадлежности Участника к иностранному лицу или российскому лицу в составе Письма о подаче оферты (форма 2)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а также указание Участником в составе заявки в Коммерческом предложении (форма 3)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соответствующих сведений.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проверяет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соответствие данному требованию на основании сведений, размещенных на официальных сервисах ФНС России в сети интернет (в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отношении иных стран ЕАЭС – на аналогичных официальных сервисах данных стран).)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11"/>
        <w:spacing w:after="120"/>
      </w:pPr>
      <w:r/>
      <w:bookmarkStart w:id="449" w:name="_Toc49"/>
      <w:r/>
      <w:bookmarkStart w:id="300" w:name="_Ref125361442"/>
      <w:r/>
      <w:bookmarkStart w:id="301" w:name="_Ref125361633"/>
      <w:r/>
      <w:bookmarkStart w:id="302" w:name="_Ref125361671"/>
      <w:r/>
      <w:bookmarkStart w:id="303" w:name="_Ref125361869"/>
      <w:r/>
      <w:bookmarkStart w:id="304" w:name="_Ref125361937"/>
      <w:r/>
      <w:bookmarkStart w:id="305" w:name="_Ref125365459"/>
      <w:r/>
      <w:bookmarkStart w:id="306" w:name="_Ref125367521"/>
      <w:r/>
      <w:bookmarkStart w:id="307" w:name="_Ref125367539"/>
      <w:r/>
      <w:bookmarkStart w:id="308" w:name="_Ref125368818"/>
      <w:r/>
      <w:bookmarkStart w:id="309" w:name="_Ref125368901"/>
      <w:r/>
      <w:bookmarkStart w:id="310" w:name="_Ref125368916"/>
      <w:r/>
      <w:bookmarkStart w:id="311" w:name="_Ref125369099"/>
      <w:r/>
      <w:bookmarkStart w:id="312" w:name="_Ref125370079"/>
      <w:r/>
      <w:bookmarkStart w:id="313" w:name="_Ref125709153"/>
      <w:r/>
      <w:bookmarkStart w:id="314" w:name="_Ref125709250"/>
      <w:r/>
      <w:bookmarkStart w:id="315" w:name="_Ref125709401"/>
      <w:r/>
      <w:bookmarkStart w:id="316" w:name="_Ref125709888"/>
      <w:r>
        <w:t xml:space="preserve">Специальные требования</w:t>
      </w:r>
      <w:bookmarkEnd w:id="300"/>
      <w:r/>
      <w:bookmarkEnd w:id="301"/>
      <w:r/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310"/>
      <w:r/>
      <w:bookmarkEnd w:id="311"/>
      <w:r/>
      <w:bookmarkEnd w:id="312"/>
      <w:r/>
      <w:bookmarkEnd w:id="313"/>
      <w:r/>
      <w:bookmarkEnd w:id="314"/>
      <w:r/>
      <w:bookmarkEnd w:id="315"/>
      <w:r/>
      <w:bookmarkEnd w:id="316"/>
      <w:r/>
      <w:bookmarkEnd w:id="449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1"/>
        <w:spacing w:after="120"/>
      </w:pPr>
      <w:r/>
      <w:bookmarkStart w:id="450" w:name="_Toc50"/>
      <w:r/>
      <w:bookmarkStart w:id="321" w:name="_Ref125361823"/>
      <w:r/>
      <w:bookmarkStart w:id="322" w:name="_Ref125362031"/>
      <w:r/>
      <w:bookmarkStart w:id="323" w:name="_Ref125369117"/>
      <w:r/>
      <w:bookmarkStart w:id="324" w:name="_Ref125370173"/>
      <w:r/>
      <w:bookmarkStart w:id="325" w:name="_Ref125370180"/>
      <w:r/>
      <w:bookmarkStart w:id="326" w:name="_Ref125370209"/>
      <w:r/>
      <w:bookmarkStart w:id="327" w:name="_Ref125709777"/>
      <w:r/>
      <w:bookmarkStart w:id="328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21"/>
      <w:r/>
      <w:bookmarkEnd w:id="322"/>
      <w:r/>
      <w:bookmarkEnd w:id="323"/>
      <w:r/>
      <w:bookmarkEnd w:id="324"/>
      <w:r/>
      <w:bookmarkEnd w:id="325"/>
      <w:r/>
      <w:bookmarkEnd w:id="326"/>
      <w:r/>
      <w:bookmarkEnd w:id="327"/>
      <w:r/>
      <w:bookmarkEnd w:id="328"/>
      <w:r/>
      <w:bookmarkEnd w:id="450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30" w:name="_Ref125370187"/>
            <w:r/>
            <w:bookmarkEnd w:id="33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31" w:name="_Ref125370193"/>
            <w:r/>
            <w:bookmarkEnd w:id="33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3.2.4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32" w:name="_Ref125553847"/>
            <w:r/>
            <w:bookmarkEnd w:id="33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51" w:name="_Toc51"/>
      <w:r/>
      <w:bookmarkStart w:id="333" w:name="Прил04_ФормыЗаявки"/>
      <w:r/>
      <w:bookmarkStart w:id="335" w:name="_Ref125362865"/>
      <w:r/>
      <w:bookmarkStart w:id="336" w:name="_Ref125362900"/>
      <w:r/>
      <w:bookmarkEnd w:id="333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51"/>
      <w:r/>
      <w:r/>
    </w:p>
    <w:p>
      <w:pPr>
        <w:pStyle w:val="1111"/>
      </w:pPr>
      <w:r/>
      <w:bookmarkStart w:id="452" w:name="_Toc52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52"/>
      <w:r/>
      <w:r/>
    </w:p>
    <w:p>
      <w:pPr>
        <w:pStyle w:val="1112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>
        <w:t xml:space="preserve"> </w:t>
      </w:r>
      <w:bookmarkStart w:id="338" w:name="_Hlk207814348"/>
      <w:r>
        <w:t xml:space="preserve">Участник при подготовке заявк</w:t>
      </w:r>
      <w:r>
        <w:t xml:space="preserve">и</w:t>
      </w:r>
      <w:r>
        <w:t xml:space="preserve"> обязан придерживаться установленных форм документов</w:t>
      </w:r>
      <w:bookmarkEnd w:id="338"/>
      <w:r>
        <w:t xml:space="preserve">.</w:t>
      </w:r>
      <w:r/>
    </w:p>
    <w:p>
      <w:pPr>
        <w:pStyle w:val="1110"/>
      </w:pPr>
      <w:r/>
      <w:bookmarkStart w:id="453" w:name="_Toc53"/>
      <w:r/>
      <w:bookmarkStart w:id="339" w:name="Прил05_ФормыПобедителя"/>
      <w:r/>
      <w:bookmarkEnd w:id="339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53"/>
      <w:r/>
      <w:r/>
    </w:p>
    <w:p>
      <w:pPr>
        <w:pStyle w:val="1111"/>
      </w:pPr>
      <w:r/>
      <w:bookmarkStart w:id="454" w:name="_Toc54"/>
      <w:r>
        <w:t xml:space="preserve">Пояснения к Образцам форм документов, предоставляемых Победителем</w:t>
      </w:r>
      <w:bookmarkEnd w:id="454"/>
      <w:r/>
      <w:r/>
    </w:p>
    <w:p>
      <w:pPr>
        <w:pStyle w:val="1112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11"/>
      </w:pPr>
      <w:r/>
      <w:bookmarkStart w:id="455" w:name="_Toc55"/>
      <w:r/>
      <w:bookmarkStart w:id="342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42"/>
      <w:r/>
      <w:bookmarkEnd w:id="455"/>
      <w:r/>
      <w:r/>
    </w:p>
    <w:p>
      <w:pPr>
        <w:pStyle w:val="1112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12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6"/>
        <w:jc w:val="center"/>
      </w:pPr>
      <w:r/>
      <w:bookmarkStart w:id="344" w:name="_Hlk207814364"/>
      <w:r/>
      <w:bookmarkStart w:id="345" w:name="_MON_1805621314"/>
      <w:r/>
      <w:bookmarkEnd w:id="345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147445" cy="734060"/>
                <wp:effectExtent l="0" t="0" r="0" b="0"/>
                <wp:docPr id="3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147445" cy="734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90.35pt;height:57.80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bookmarkEnd w:id="344"/>
      <w:r/>
      <w:r/>
    </w:p>
    <w:p>
      <w:pPr>
        <w:pStyle w:val="1111"/>
      </w:pPr>
      <w:r/>
      <w:bookmarkStart w:id="456" w:name="_Toc56"/>
      <w:r/>
      <w:bookmarkStart w:id="346" w:name="_Ref130395475"/>
      <w:r>
        <w:t xml:space="preserve">Форма «Заверение об обстоятельствах»</w:t>
      </w:r>
      <w:bookmarkEnd w:id="346"/>
      <w:r/>
      <w:bookmarkEnd w:id="456"/>
      <w:r/>
      <w:r/>
    </w:p>
    <w:p>
      <w:pPr>
        <w:pStyle w:val="1112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12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12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12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6"/>
        <w:jc w:val="center"/>
        <w:spacing w:after="120"/>
      </w:pPr>
      <w:r/>
      <w:bookmarkStart w:id="348" w:name="_MON_1741074184"/>
      <w:r/>
      <w:bookmarkEnd w:id="348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19175" cy="657860"/>
                <wp:effectExtent l="0" t="0" r="0" b="0"/>
                <wp:docPr id="4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3">
                          <a:extLst>
                            <a:ext uri="{96DAC541-7B7A-43D3-8B79-37D633B846F1}">
                              <asvg:svgBlip xmlns:asvg="http://schemas.microsoft.com/office/drawing/2016/SVG/main" r:embed="rId2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19174" cy="65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80.25pt;height:51.80pt;mso-wrap-distance-left:0.00pt;mso-wrap-distance-top:0.00pt;mso-wrap-distance-right:0.00pt;mso-wrap-distance-bottom:0.00pt;" stroked="f">
                <v:path textboxrect="0,0,0,0"/>
                <v:imagedata r:id="rId23" o:title=""/>
              </v:shape>
            </w:pict>
          </mc:Fallback>
        </mc:AlternateContent>
      </w:r>
      <w:r/>
    </w:p>
    <w:p>
      <w:pPr>
        <w:pStyle w:val="1110"/>
      </w:pPr>
      <w:r/>
      <w:bookmarkStart w:id="457" w:name="_Toc57"/>
      <w:r/>
      <w:bookmarkStart w:id="349" w:name="Прил06_СоставЗаявки"/>
      <w:r/>
      <w:bookmarkEnd w:id="349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35"/>
      <w:r/>
      <w:bookmarkEnd w:id="336"/>
      <w:r/>
      <w:bookmarkEnd w:id="457"/>
      <w:r/>
      <w:r/>
    </w:p>
    <w:p>
      <w:pPr>
        <w:pStyle w:val="1111"/>
      </w:pPr>
      <w:r/>
      <w:bookmarkStart w:id="458" w:name="_Toc58"/>
      <w:r>
        <w:t xml:space="preserve">Состав заявки</w:t>
      </w:r>
      <w:bookmarkEnd w:id="458"/>
      <w:r/>
      <w:r/>
    </w:p>
    <w:p>
      <w:pPr>
        <w:pStyle w:val="1112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</w:t>
      </w:r>
      <w:bookmarkStart w:id="352" w:name="_Hlk207814797"/>
      <w:r>
        <w:t xml:space="preserve">по установленным формам и в соответствии с инструкциями, приведенными</w:t>
      </w:r>
      <w:bookmarkEnd w:id="352"/>
      <w:r>
        <w:t xml:space="preserve"> в</w:t>
      </w:r>
      <w:r>
        <w:t xml:space="preserve">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</w:t>
        </w:r>
        <w:r>
          <w:rPr>
            <w:rStyle w:val="1140"/>
          </w:rPr>
          <w:t xml:space="preserve">и</w:t>
        </w:r>
        <w:r>
          <w:rPr>
            <w:rStyle w:val="1140"/>
          </w:rPr>
          <w:t xml:space="preserve"> № </w:t>
        </w:r>
        <w:r>
          <w:rPr>
            <w:rStyle w:val="1140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3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сведений, позволяющих каким-либо образом идентифицировать генеральн</w:t>
            </w:r>
            <w:r>
              <w:rPr>
                <w:i/>
                <w:iCs/>
              </w:rPr>
              <w:t xml:space="preserve">ого</w:t>
            </w:r>
            <w:r>
              <w:rPr>
                <w:i/>
                <w:iCs/>
              </w:rPr>
              <w:t xml:space="preserve"> подрядчик</w:t>
            </w:r>
            <w:r>
              <w:rPr>
                <w:i/>
                <w:iCs/>
              </w:rPr>
              <w:t xml:space="preserve">а</w:t>
            </w:r>
            <w:r>
              <w:rPr>
                <w:i/>
                <w:iCs/>
              </w:rPr>
              <w:t xml:space="preserve">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Анкета Участника (форма </w:t>
            </w:r>
            <w:r>
              <w:t xml:space="preserve">5</w:t>
            </w:r>
            <w:r>
              <w:t xml:space="preserve">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53" w:name="_Ref132888537"/>
            <w:r/>
            <w:bookmarkEnd w:id="353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</w:t>
            </w:r>
            <w:r>
              <w:rPr>
                <w:b/>
                <w:bCs/>
              </w:rPr>
              <w:t xml:space="preserve"> (предоставляется в течение 1 (одного) рабочего дня после завершения процедуры аукциона)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12"/>
        <w:rPr>
          <w:rStyle w:val="1121"/>
          <w:i w:val="0"/>
          <w:iCs w:val="0"/>
          <w:shd w:val="clear" w:color="auto" w:fill="auto"/>
        </w:rPr>
      </w:pPr>
      <w:r>
        <w:rPr>
          <w:rStyle w:val="1121"/>
          <w:i w:val="0"/>
          <w:iCs w:val="0"/>
          <w:shd w:val="clear" w:color="auto" w:fill="auto"/>
        </w:rPr>
        <w:t xml:space="preserve">Е</w:t>
      </w:r>
      <w:r>
        <w:rPr>
          <w:rStyle w:val="1121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21"/>
          <w:i w:val="0"/>
          <w:iCs w:val="0"/>
          <w:shd w:val="clear" w:color="auto" w:fill="auto"/>
        </w:rPr>
        <w:t xml:space="preserve"> </w:t>
      </w:r>
      <w:r>
        <w:rPr>
          <w:rStyle w:val="1121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21"/>
          <w:i w:val="0"/>
          <w:iCs w:val="0"/>
          <w:shd w:val="clear" w:color="auto" w:fill="auto"/>
        </w:rPr>
        <w:t xml:space="preserve"> </w:t>
      </w:r>
      <w:r>
        <w:rPr>
          <w:rStyle w:val="1121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21"/>
          <w:i w:val="0"/>
          <w:iCs w:val="0"/>
          <w:shd w:val="clear" w:color="auto" w:fill="auto"/>
        </w:rPr>
        <w:t xml:space="preserve"> </w:t>
      </w:r>
      <w:r>
        <w:rPr>
          <w:rStyle w:val="1121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6"/>
        <w:rPr>
          <w:rStyle w:val="1121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0"/>
      </w:pPr>
      <w:r/>
      <w:bookmarkStart w:id="459" w:name="_Toc59"/>
      <w:r/>
      <w:bookmarkStart w:id="354" w:name="Прил07_ОтборочныеКритерии"/>
      <w:r/>
      <w:bookmarkStart w:id="355" w:name="_Ref125365264"/>
      <w:r/>
      <w:bookmarkEnd w:id="354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55"/>
      <w:r/>
      <w:bookmarkEnd w:id="459"/>
      <w:r/>
      <w:r/>
    </w:p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60" w:name="_Toc60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21"/>
          <w:i w:val="0"/>
          <w:iCs w:val="0"/>
          <w:shd w:val="clear" w:color="auto" w:fill="auto"/>
        </w:rPr>
        <w:t xml:space="preserve">первых частей </w:t>
      </w:r>
      <w:r>
        <w:rPr>
          <w:rStyle w:val="1121"/>
          <w:i w:val="0"/>
          <w:iCs w:val="0"/>
          <w:shd w:val="clear" w:color="auto" w:fill="auto"/>
        </w:rPr>
        <w:t xml:space="preserve">заявок</w:t>
      </w:r>
      <w:r>
        <w:rPr>
          <w:rStyle w:val="1121"/>
          <w:i w:val="0"/>
          <w:iCs w:val="0"/>
          <w:shd w:val="clear" w:color="auto" w:fill="auto"/>
        </w:rPr>
      </w:r>
      <w:bookmarkEnd w:id="460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rStyle w:val="1140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40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сроков (и (или) этапов) </w:t>
            </w:r>
            <w:r>
              <w:t xml:space="preserve">реализации Договора</w:t>
            </w:r>
            <w:r>
              <w:t xml:space="preserve">, </w:t>
            </w:r>
            <w:r>
              <w:t xml:space="preserve">предложенных Участником в Техническом предложении, </w:t>
            </w:r>
            <w:r>
              <w:t xml:space="preserve">указанным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Проекте договора (Приложение № 2)</w:t>
              </w:r>
            </w:hyperlink>
            <w:r>
              <w:t xml:space="preserve">, или согласие с ними в Письме о подаче оферты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>
              <w:t xml:space="preserve"> / сведений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61" w:name="_Toc61"/>
      <w:r/>
      <w:bookmarkStart w:id="360" w:name="_Hlk132891087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60"/>
      <w:r>
        <w:rPr>
          <w:rStyle w:val="1121"/>
          <w:i w:val="0"/>
          <w:iCs w:val="0"/>
          <w:shd w:val="clear" w:color="auto" w:fill="auto"/>
        </w:rPr>
      </w:r>
      <w:bookmarkEnd w:id="461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rStyle w:val="1140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61" w:name="_Ref132890414"/>
            <w:r/>
            <w:bookmarkEnd w:id="361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16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40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предложения требованиям к стране происхождения поставляемого товара, установленным в Технических требованиях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исполнения Заказчиком норм в части минимальной обязательной доли закупок товаров российского происхождения (подраздел</w:t>
            </w:r>
            <w:r>
              <w:rPr>
                <w:i/>
                <w:iCs/>
                <w:lang w:val="en-US"/>
              </w:rPr>
              <w:t xml:space="preserve"> </w:t>
            </w:r>
            <w:r>
              <w:rPr>
                <w:i/>
                <w:iCs/>
                <w:lang w:val="en-US"/>
              </w:rPr>
              <w:fldChar w:fldCharType="begin"/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 _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186183588 \</w:instrText>
            </w:r>
            <w:r>
              <w:rPr>
                <w:i/>
                <w:iCs/>
                <w:lang w:val="en-US"/>
              </w:rPr>
              <w:instrText xml:space="preserve">r</w:instrText>
            </w:r>
            <w:r>
              <w:rPr>
                <w:i/>
                <w:iCs/>
              </w:rPr>
              <w:instrText xml:space="preserve"> \</w:instrText>
            </w:r>
            <w:r>
              <w:rPr>
                <w:i/>
                <w:iCs/>
                <w:lang w:val="en-US"/>
              </w:rPr>
              <w:instrText xml:space="preserve">h</w:instrText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  <w:lang w:val="en-US"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</w:t>
            </w:r>
            <w:r>
              <w:rPr>
                <w:lang w:val="en-US"/>
              </w:rPr>
              <w:t xml:space="preserve"> 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_Ref130281199 \r \h </w:instrText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 xml:space="preserve">4.3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rPr>
                <w:lang w:val="en-US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62" w:name="_Toc62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21"/>
          <w:i w:val="0"/>
          <w:iCs w:val="0"/>
          <w:shd w:val="clear" w:color="auto" w:fill="auto"/>
        </w:rPr>
      </w:r>
      <w:bookmarkEnd w:id="462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/>
          </w:p>
          <w:p>
            <w:pPr>
              <w:pStyle w:val="1116"/>
              <w:jc w:val="center"/>
              <w:rPr>
                <w:rStyle w:val="1140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_Ref149656148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/>
            <w:bookmarkStart w:id="363" w:name="_Hlk209700351"/>
            <w:r>
              <w:t xml:space="preserve">Соответствие Коммерческого предложения</w:t>
            </w:r>
            <w:r>
              <w:t xml:space="preserve"> (</w:t>
            </w:r>
            <w:r>
              <w:t xml:space="preserve">оценка </w:t>
            </w:r>
            <w:r>
              <w:t xml:space="preserve">состава и </w:t>
            </w:r>
            <w:r>
              <w:t xml:space="preserve">правильности оформления</w:t>
            </w:r>
            <w:r>
              <w:t xml:space="preserve"> документов</w:t>
            </w:r>
            <w:r>
              <w:t xml:space="preserve">; проверка отсутствия противоречий в </w:t>
            </w:r>
            <w:r>
              <w:t xml:space="preserve">представленных в составе Коммерческого предложения (и приложениях к нему) документах</w:t>
            </w:r>
            <w:r>
              <w:t xml:space="preserve">)</w:t>
            </w:r>
            <w:r>
              <w:t xml:space="preserve">.</w:t>
            </w:r>
            <w:bookmarkEnd w:id="363"/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t xml:space="preserve"> </w:t>
            </w:r>
            <w:r>
              <w:fldChar w:fldCharType="begin"/>
            </w:r>
            <w:r>
              <w:instrText xml:space="preserve"> REF _Ref149656148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предложения установленным </w:t>
            </w:r>
            <w:r>
              <w:t xml:space="preserve">законодательством </w:t>
            </w:r>
            <w:r>
              <w:t xml:space="preserve">требованиям к предоставлению национального режима, в том числе в части указания сведений, которые подтверждают страну происхождения товара в составе заявке в форме Коммерческого предложения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или ограничения закупки иностранной продукции</w:t>
            </w:r>
            <w:r>
              <w:rPr>
                <w:i/>
                <w:iCs/>
              </w:rPr>
              <w:t xml:space="preserve">, а также при исполнении </w:t>
            </w:r>
            <w:r>
              <w:rPr>
                <w:i/>
                <w:iCs/>
              </w:rPr>
              <w:t xml:space="preserve">З</w:t>
            </w:r>
            <w:r>
              <w:rPr>
                <w:i/>
                <w:iCs/>
              </w:rPr>
              <w:t xml:space="preserve">аказчиком норм в части минимальной обязательной доли закупок товаров российского происхождения</w:t>
            </w:r>
            <w:r>
              <w:rPr>
                <w:i/>
                <w:iCs/>
              </w:rPr>
              <w:t xml:space="preserve">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_Ref186183588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_Ref130281199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/>
          </w:p>
          <w:p>
            <w:pPr>
              <w:pStyle w:val="1116"/>
              <w:jc w:val="center"/>
            </w:pPr>
            <w:r/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br/>
              <w:t xml:space="preserve">(форма Коммерческого предложения)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40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11"/>
        <w:rPr>
          <w:rStyle w:val="1121"/>
          <w:i w:val="0"/>
          <w:iCs w:val="0"/>
          <w:shd w:val="clear" w:color="auto" w:fill="auto"/>
        </w:rPr>
      </w:pPr>
      <w:r/>
      <w:bookmarkStart w:id="463" w:name="_Toc63"/>
      <w:r/>
      <w:bookmarkStart w:id="364" w:name="_Ref195009395"/>
      <w:r>
        <w:rPr>
          <w:rStyle w:val="1121"/>
          <w:i w:val="0"/>
          <w:iCs w:val="0"/>
          <w:shd w:val="clear" w:color="auto" w:fill="auto"/>
        </w:rPr>
        <w:t xml:space="preserve">Дополнительные</w:t>
      </w:r>
      <w:r>
        <w:rPr>
          <w:rStyle w:val="1121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21"/>
          <w:i w:val="0"/>
          <w:iCs w:val="0"/>
          <w:shd w:val="clear" w:color="auto" w:fill="auto"/>
        </w:rPr>
        <w:t xml:space="preserve">ок</w:t>
      </w:r>
      <w:r>
        <w:rPr>
          <w:rStyle w:val="1121"/>
          <w:i w:val="0"/>
          <w:iCs w:val="0"/>
          <w:shd w:val="clear" w:color="auto" w:fill="auto"/>
        </w:rPr>
        <w:t xml:space="preserve"> на соответстви</w:t>
      </w:r>
      <w:r>
        <w:rPr>
          <w:rStyle w:val="1121"/>
          <w:i w:val="0"/>
          <w:iCs w:val="0"/>
          <w:shd w:val="clear" w:color="auto" w:fill="auto"/>
        </w:rPr>
        <w:t xml:space="preserve">е</w:t>
      </w:r>
      <w:r>
        <w:rPr>
          <w:rStyle w:val="1121"/>
          <w:i w:val="0"/>
          <w:iCs w:val="0"/>
          <w:shd w:val="clear" w:color="auto" w:fill="auto"/>
        </w:rPr>
        <w:t xml:space="preserve"> условиям Документации о закупке</w:t>
      </w:r>
      <w:bookmarkEnd w:id="364"/>
      <w:r>
        <w:rPr>
          <w:rStyle w:val="1121"/>
          <w:i w:val="0"/>
          <w:iCs w:val="0"/>
          <w:shd w:val="clear" w:color="auto" w:fill="auto"/>
        </w:rPr>
      </w:r>
      <w:bookmarkEnd w:id="463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6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Возможность применения преимущества, 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преимущества российской продукции, в отношении заявки с российской продукцией (на поставку товара российского происхождения (в том числе поставляемого при выполнении работ, оказании услуг))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(пункт применяется только в случае установления режима </w:t>
            </w:r>
            <w:r>
              <w:rPr>
                <w:i/>
                <w:iCs/>
              </w:rPr>
              <w:t xml:space="preserve">преимущества российской продукции</w:t>
            </w:r>
            <w:r>
              <w:rPr>
                <w:i/>
                <w:iCs/>
              </w:rPr>
              <w:t xml:space="preserve"> (подраздел 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_Ref186183588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t xml:space="preserve">))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 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6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 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</w:t>
      </w:r>
      <w:r>
        <w:t xml:space="preserve">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</w:t>
      </w:r>
      <w:bookmarkStart w:id="366" w:name="_Hlk207815919"/>
      <w:r>
        <w:t xml:space="preserve">в целях применения законодательства о национальном режиме: а)</w:t>
      </w:r>
      <w:r>
        <w:t xml:space="preserve"> </w:t>
      </w:r>
      <w:r>
        <w:t xml:space="preserve">при закупке товаров (в том числе поставляемых при выполнении работ, оказании услуг) – оценка сведений о стране происхождения предлагаемого к поставке товара; б)</w:t>
      </w:r>
      <w:r>
        <w:t xml:space="preserve"> </w:t>
      </w:r>
      <w:r>
        <w:t xml:space="preserve">при закупке работ, услуг – оценка сведений о стране регистрации Участника (стране регистрации лица, согласно заявке выполняющего работу, оказывающего услугу)</w:t>
      </w:r>
      <w:bookmarkEnd w:id="366"/>
      <w:r>
        <w:t xml:space="preserve">;</w:t>
      </w:r>
      <w:r>
        <w:t xml:space="preserve">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</w:t>
      </w:r>
      <w:r>
        <w:t xml:space="preserve">проверка технической части подтверждающей документации, прилагаемой к Коммерческому предложению (при наличии), а</w:t>
      </w:r>
      <w:r>
        <w:t xml:space="preserve"> </w:t>
      </w:r>
      <w:r>
        <w:t xml:space="preserve">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</w:t>
      </w:r>
      <w:r>
        <w:t xml:space="preserve">,</w:t>
      </w:r>
      <w:r>
        <w:t xml:space="preserve">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16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bookmarkStart w:id="367" w:name="_Hlk207816097"/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языка и валюты заявки); </w:t>
      </w:r>
      <w:r>
        <w:t xml:space="preserve">проверка отсутствия противоречий </w:t>
      </w:r>
      <w:r>
        <w:t xml:space="preserve">в </w:t>
      </w:r>
      <w:r>
        <w:t xml:space="preserve">представленных в составе Коммерческого предложения (и приложениях к нему) документах</w:t>
      </w:r>
      <w:r>
        <w:t xml:space="preserve">; проверка соответствия подтверж</w:t>
      </w:r>
      <w:r>
        <w:t xml:space="preserve">дающей документации (сметная документация и т.п.), прилагаемой к Коммерческому приложению, требованиям, указанным в Технических требованиях (при наличии такой документации и если ее предоставление требовалось в Документации о закупке), в том числе в части </w:t>
      </w:r>
      <w:r>
        <w:t xml:space="preserve"> </w:t>
      </w:r>
      <w:bookmarkEnd w:id="367"/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16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64" w:name="_Toc64"/>
      <w:r/>
      <w:bookmarkStart w:id="368" w:name="Прил08_ПорядокОценки"/>
      <w:r/>
      <w:bookmarkStart w:id="369" w:name="_Ref125361648"/>
      <w:r/>
      <w:bookmarkStart w:id="370" w:name="_Ref125361951"/>
      <w:r/>
      <w:bookmarkStart w:id="371" w:name="_Ref125366013"/>
      <w:r/>
      <w:bookmarkStart w:id="372" w:name="_Ref125366280"/>
      <w:r/>
      <w:bookmarkStart w:id="373" w:name="_Ref125366285"/>
      <w:r/>
      <w:bookmarkStart w:id="374" w:name="_Ref125368140"/>
      <w:r/>
      <w:bookmarkStart w:id="375" w:name="_Ref125368150"/>
      <w:r/>
      <w:bookmarkStart w:id="376" w:name="_Ref125368165"/>
      <w:r/>
      <w:bookmarkStart w:id="377" w:name="_Ref125368172"/>
      <w:r/>
      <w:bookmarkStart w:id="378" w:name="_Ref125368184"/>
      <w:r/>
      <w:bookmarkStart w:id="379" w:name="_Ref125368283"/>
      <w:r/>
      <w:bookmarkStart w:id="380" w:name="_Ref125368291"/>
      <w:r/>
      <w:bookmarkStart w:id="381" w:name="_Ref125368302"/>
      <w:r/>
      <w:bookmarkStart w:id="382" w:name="_Ref125368313"/>
      <w:r/>
      <w:bookmarkStart w:id="383" w:name="_Ref125368331"/>
      <w:r/>
      <w:bookmarkStart w:id="384" w:name="_Ref125369021"/>
      <w:r/>
      <w:bookmarkStart w:id="385" w:name="_Ref125369438"/>
      <w:r/>
      <w:bookmarkEnd w:id="368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69"/>
      <w:r/>
      <w:bookmarkEnd w:id="370"/>
      <w:r/>
      <w:bookmarkEnd w:id="371"/>
      <w:r/>
      <w:bookmarkEnd w:id="372"/>
      <w:r/>
      <w:bookmarkEnd w:id="373"/>
      <w:r/>
      <w:bookmarkEnd w:id="374"/>
      <w:r/>
      <w:bookmarkEnd w:id="375"/>
      <w:r/>
      <w:bookmarkEnd w:id="376"/>
      <w:r/>
      <w:bookmarkEnd w:id="377"/>
      <w:r/>
      <w:bookmarkEnd w:id="378"/>
      <w:r/>
      <w:bookmarkEnd w:id="379"/>
      <w:r/>
      <w:bookmarkEnd w:id="380"/>
      <w:r/>
      <w:bookmarkEnd w:id="381"/>
      <w:r/>
      <w:bookmarkEnd w:id="382"/>
      <w:r/>
      <w:bookmarkEnd w:id="383"/>
      <w:r/>
      <w:bookmarkEnd w:id="384"/>
      <w:r/>
      <w:bookmarkEnd w:id="385"/>
      <w:r/>
      <w:bookmarkEnd w:id="464"/>
      <w:r/>
      <w:r/>
    </w:p>
    <w:p>
      <w:pPr>
        <w:pStyle w:val="1111"/>
      </w:pPr>
      <w:r/>
      <w:bookmarkStart w:id="465" w:name="_Toc65"/>
      <w:r>
        <w:t xml:space="preserve">Порядок и критерии оценки и сопоставления заявок</w:t>
      </w:r>
      <w:bookmarkEnd w:id="465"/>
      <w:r/>
      <w:r/>
    </w:p>
    <w:p>
      <w:pPr>
        <w:pStyle w:val="1112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1124"/>
        </w:rPr>
        <w:footnoteReference w:id="14"/>
      </w:r>
      <w:r>
        <w:t xml:space="preserve">.</w:t>
      </w:r>
      <w:r/>
    </w:p>
    <w:p>
      <w:pPr>
        <w:pStyle w:val="1112"/>
      </w:pPr>
      <w:r>
        <w:t xml:space="preserve">В установленных случаях оценка и сопоставление заявок производится с</w:t>
      </w:r>
      <w:r>
        <w:t xml:space="preserve"> </w:t>
      </w:r>
      <w:r>
        <w:t xml:space="preserve">учетом предоставления национального режима в соответствии с порядком, предусмотренном подразделом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66" w:name="_Toc66"/>
      <w:r/>
      <w:bookmarkStart w:id="388" w:name="Прил09_ОбоснованиеНМЦ"/>
      <w:r/>
      <w:bookmarkStart w:id="389" w:name="_Ref125360420"/>
      <w:r/>
      <w:bookmarkEnd w:id="388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89"/>
      <w:r/>
      <w:bookmarkEnd w:id="466"/>
      <w:r/>
      <w:r/>
    </w:p>
    <w:p>
      <w:pPr>
        <w:pStyle w:val="1111"/>
      </w:pPr>
      <w:r/>
      <w:bookmarkStart w:id="467" w:name="_Toc67"/>
      <w:r>
        <w:t xml:space="preserve">Пояснения к Обоснованию НМЦ</w:t>
      </w:r>
      <w:bookmarkEnd w:id="467"/>
      <w:r/>
      <w:r/>
    </w:p>
    <w:p>
      <w:pPr>
        <w:pStyle w:val="1112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10"/>
      </w:pPr>
      <w:r/>
      <w:bookmarkStart w:id="468" w:name="_Toc68"/>
      <w:r/>
      <w:bookmarkStart w:id="392" w:name="Прил10_ФормаЗаявкиНаАккредитацию"/>
      <w:r/>
      <w:bookmarkEnd w:id="392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68"/>
      <w:r/>
      <w:r/>
    </w:p>
    <w:p>
      <w:pPr>
        <w:pStyle w:val="1111"/>
      </w:pPr>
      <w:r/>
      <w:bookmarkStart w:id="469" w:name="_Toc69"/>
      <w:r>
        <w:t xml:space="preserve">Пояснения к форме Заявки на аккредитацию</w:t>
      </w:r>
      <w:bookmarkEnd w:id="469"/>
      <w:r/>
      <w:r/>
    </w:p>
    <w:p>
      <w:pPr>
        <w:pStyle w:val="1112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>
        <w:t xml:space="preserve"> </w:t>
      </w:r>
      <w:r/>
    </w:p>
    <w:p>
      <w:pPr>
        <w:pStyle w:val="1112"/>
      </w:pPr>
      <w:r>
        <w:t xml:space="preserve">Заявка на аккредитацию </w:t>
      </w:r>
      <w:r>
        <w:t xml:space="preserve">пред</w:t>
      </w:r>
      <w:r>
        <w:t xml:space="preserve">о</w:t>
      </w:r>
      <w:r>
        <w:t xml:space="preserve">ставл</w:t>
      </w:r>
      <w:r>
        <w:t xml:space="preserve">яется (в установленных Документацией о закупке случаях) Участником в составе своей заявки </w:t>
      </w:r>
      <w:bookmarkStart w:id="395" w:name="_Hlk207300788"/>
      <w:r>
        <w:t xml:space="preserve">только в электронном виде </w:t>
      </w:r>
      <w:r>
        <w:rPr>
          <w:b/>
          <w:bCs/>
        </w:rPr>
        <w:t xml:space="preserve">в формате </w:t>
      </w:r>
      <w:r>
        <w:rPr>
          <w:b/>
          <w:bCs/>
          <w:lang w:val="en-US"/>
        </w:rPr>
        <w:t xml:space="preserve">Microsoft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 xml:space="preserve">Excel</w:t>
      </w:r>
      <w:r>
        <w:rPr>
          <w:b/>
          <w:bCs/>
        </w:rPr>
        <w:t xml:space="preserve"> (*.</w:t>
      </w:r>
      <w:r>
        <w:rPr>
          <w:b/>
          <w:bCs/>
          <w:lang w:val="en-US"/>
        </w:rPr>
        <w:t xml:space="preserve">xlsx</w:t>
      </w:r>
      <w:r>
        <w:rPr>
          <w:b/>
          <w:bCs/>
        </w:rPr>
        <w:t xml:space="preserve">)</w:t>
      </w:r>
      <w:r>
        <w:t xml:space="preserve">)</w:t>
      </w:r>
      <w:bookmarkEnd w:id="395"/>
      <w:r>
        <w:t xml:space="preserve">.</w:t>
      </w:r>
      <w:r/>
    </w:p>
    <w:p>
      <w:pPr>
        <w:pStyle w:val="1116"/>
        <w:jc w:val="center"/>
      </w:pPr>
      <w:r/>
      <w:r/>
    </w:p>
    <w:p>
      <w:r/>
      <w:r/>
    </w:p>
    <w:p>
      <w:pPr>
        <w:pStyle w:val="1110"/>
      </w:pPr>
      <w:r/>
      <w:bookmarkStart w:id="470" w:name="_Toc70"/>
      <w:r/>
      <w:bookmarkStart w:id="396" w:name="Прил11_Данные_бухотчетность"/>
      <w:r/>
      <w:bookmarkStart w:id="398" w:name="_Hlk210644436"/>
      <w:r>
        <w:t xml:space="preserve">Приложение № 11 </w:t>
      </w:r>
      <w:bookmarkEnd w:id="396"/>
      <w:r>
        <w:t xml:space="preserve">– форма Данных бухгалтерской (финансовой) отчетности</w:t>
      </w:r>
      <w:bookmarkEnd w:id="470"/>
      <w:r/>
      <w:r/>
    </w:p>
    <w:p>
      <w:pPr>
        <w:pStyle w:val="1111"/>
      </w:pPr>
      <w:r/>
      <w:bookmarkStart w:id="471" w:name="_Toc71"/>
      <w:r>
        <w:t xml:space="preserve">Пояснения к форме Данных бухгалтерской (финансовой) отчетности</w:t>
      </w:r>
      <w:r>
        <w:t xml:space="preserve"> </w:t>
      </w:r>
      <w:bookmarkEnd w:id="471"/>
      <w:r/>
      <w:r/>
    </w:p>
    <w:p>
      <w:pPr>
        <w:pStyle w:val="1112"/>
      </w:pPr>
      <w:r>
        <w:t xml:space="preserve">Форма Данных бухгалтерской (финансовой) отчетности приведена 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11 к Документации о закупке.</w:t>
      </w:r>
      <w:r/>
    </w:p>
    <w:p>
      <w:r/>
      <w:r/>
    </w:p>
    <w:p>
      <w:pPr>
        <w:jc w:val="center"/>
      </w:pPr>
      <w:r/>
      <w:bookmarkStart w:id="400" w:name="_MON_1821256687"/>
      <w:r/>
      <w:bookmarkEnd w:id="400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78535" cy="629285"/>
                <wp:effectExtent l="0" t="0" r="0" b="0"/>
                <wp:docPr id="5" name="_x0000_i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78573307" name=""/>
                        <pic:cNvPicPr/>
                        <pic:nvPr/>
                      </pic:nvPicPr>
                      <pic:blipFill>
                        <a:blip r:embed="rId25">
                          <a:extLst>
                            <a:ext uri="{96DAC541-7B7A-43D3-8B79-37D633B846F1}">
                              <asvg:svgBlip xmlns:asvg="http://schemas.microsoft.com/office/drawing/2016/SVG/main" r:embed="rId2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78534" cy="6292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77.05pt;height:49.55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bookmarkEnd w:id="398"/>
      <w:r/>
      <w:r/>
    </w:p>
    <w:p>
      <w:pPr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1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</w:t>
      </w:r>
      <w:r>
        <w:t xml:space="preserve"> </w:t>
      </w:r>
      <w:r>
        <w:t xml:space="preserve">повышение стоимости заявки (цены Договора).</w:t>
      </w:r>
      <w:r/>
    </w:p>
  </w:footnote>
  <w:footnote w:id="3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4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 отражаться сведения, позволяющие идентифицировать Участников.</w:t>
      </w:r>
      <w:r/>
    </w:p>
  </w:footnote>
  <w:footnote w:id="6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</w:t>
      </w:r>
      <w:r>
        <w:t xml:space="preserve"> </w:t>
      </w:r>
      <w:r>
        <w:t xml:space="preserve">отражаться сведения, позволяющие идентифицировать Участников.</w:t>
      </w:r>
      <w:r/>
    </w:p>
  </w:footnote>
  <w:footnote w:id="7">
    <w:p>
      <w:pPr>
        <w:pStyle w:val="1122"/>
        <w:ind w:left="567" w:hanging="567"/>
        <w:jc w:val="both"/>
        <w:rPr>
          <w:sz w:val="22"/>
        </w:rPr>
      </w:pPr>
      <w:r>
        <w:rPr>
          <w:rStyle w:val="1124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8">
    <w:p>
      <w:pPr>
        <w:pStyle w:val="1125"/>
      </w:pPr>
      <w:r>
        <w:rPr>
          <w:rStyle w:val="1124"/>
        </w:rPr>
        <w:footnoteRef/>
      </w:r>
      <w:r>
        <w:tab/>
      </w:r>
      <w:bookmarkStart w:id="164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164"/>
      <w:r/>
      <w:r/>
    </w:p>
  </w:footnote>
  <w:footnote w:id="9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</w:t>
      </w:r>
      <w:r>
        <w:t xml:space="preserve"> </w:t>
      </w:r>
      <w:r>
        <w:t xml:space="preserve">отражаться сведения, позволяющие идентифицировать Участников</w:t>
      </w:r>
      <w:r>
        <w:t xml:space="preserve"> и Победителя</w:t>
      </w:r>
      <w:r>
        <w:t xml:space="preserve">.</w:t>
      </w:r>
      <w:r/>
    </w:p>
  </w:footnote>
  <w:footnote w:id="11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3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4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pStyle w:val="1160"/>
      <w:isLgl w:val="false"/>
      <w:suff w:val="tab"/>
      <w:lvlText w:val="%1."/>
      <w:lvlJc w:val="left"/>
      <w:pPr>
        <w:ind w:left="0" w:firstLine="0"/>
        <w:tabs>
          <w:tab w:val="num" w:pos="851" w:leader="none"/>
        </w:tabs>
      </w:pPr>
      <w:rPr>
        <w:rFonts w:hint="default"/>
      </w:rPr>
    </w:lvl>
    <w:lvl w:ilvl="1">
      <w:start w:val="1"/>
      <w:numFmt w:val="decimal"/>
      <w:pStyle w:val="1161"/>
      <w:isLgl w:val="false"/>
      <w:suff w:val="tab"/>
      <w:lvlText w:val="%1.%2."/>
      <w:lvlJc w:val="left"/>
      <w:pPr>
        <w:ind w:left="1418" w:hanging="1418"/>
      </w:pPr>
      <w:rPr>
        <w:rFonts w:hint="default" w:ascii="Times New Roman" w:hAnsi="Times New Roman" w:cs="Times New Roman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66"/>
      <w:isLgl w:val="false"/>
      <w:suff w:val="tab"/>
      <w:lvlText w:val="%1.%2.%3."/>
      <w:lvlJc w:val="left"/>
      <w:pPr>
        <w:ind w:left="1418" w:hanging="1418"/>
        <w:tabs>
          <w:tab w:val="num" w:pos="1701" w:leader="none"/>
        </w:tabs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pStyle w:val="1163"/>
      <w:isLgl w:val="false"/>
      <w:suff w:val="tab"/>
      <w:lvlText w:val="%1.%2.%3.%4."/>
      <w:lvlJc w:val="left"/>
      <w:pPr>
        <w:ind w:left="1418" w:hanging="1418"/>
        <w:tabs>
          <w:tab w:val="num" w:pos="1701" w:leader="none"/>
        </w:tabs>
      </w:pPr>
      <w:rPr>
        <w:rFonts w:hint="default" w:ascii="Times New Roman" w:hAnsi="Times New Roman" w:cs="Times New Roman"/>
        <w:b w:val="0"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russianLower"/>
      <w:pStyle w:val="1162"/>
      <w:isLgl w:val="false"/>
      <w:suff w:val="tab"/>
      <w:lvlText w:val="%5)"/>
      <w:lvlJc w:val="left"/>
      <w:pPr>
        <w:ind w:left="1985" w:hanging="567"/>
        <w:tabs>
          <w:tab w:val="num" w:pos="198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5">
      <w:start w:val="1"/>
      <w:numFmt w:val="bullet"/>
      <w:pStyle w:val="1165"/>
      <w:isLgl w:val="false"/>
      <w:suff w:val="tab"/>
      <w:lvlText w:val=""/>
      <w:lvlJc w:val="left"/>
      <w:pPr>
        <w:ind w:left="1985" w:hanging="567"/>
        <w:tabs>
          <w:tab w:val="num" w:pos="1985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70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5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53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54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pStyle w:val="111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1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1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1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1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705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7"/>
  </w:num>
  <w:num w:numId="2">
    <w:abstractNumId w:val="18"/>
  </w:num>
  <w:num w:numId="3">
    <w:abstractNumId w:val="7"/>
  </w:num>
  <w:num w:numId="4">
    <w:abstractNumId w:val="19"/>
  </w:num>
  <w:num w:numId="5">
    <w:abstractNumId w:val="15"/>
  </w:num>
  <w:num w:numId="6">
    <w:abstractNumId w:val="10"/>
  </w:num>
  <w:num w:numId="7">
    <w:abstractNumId w:val="8"/>
  </w:num>
  <w:num w:numId="8">
    <w:abstractNumId w:val="2"/>
  </w:num>
  <w:num w:numId="9">
    <w:abstractNumId w:val="21"/>
  </w:num>
  <w:num w:numId="10">
    <w:abstractNumId w:val="9"/>
  </w:num>
  <w:num w:numId="11">
    <w:abstractNumId w:val="20"/>
  </w:num>
  <w:num w:numId="12">
    <w:abstractNumId w:val="23"/>
  </w:num>
  <w:num w:numId="13">
    <w:abstractNumId w:val="3"/>
  </w:num>
  <w:num w:numId="14">
    <w:abstractNumId w:val="4"/>
  </w:num>
  <w:num w:numId="15">
    <w:abstractNumId w:val="16"/>
  </w:num>
  <w:num w:numId="16">
    <w:abstractNumId w:val="12"/>
  </w:num>
  <w:num w:numId="17">
    <w:abstractNumId w:val="24"/>
  </w:num>
  <w:num w:numId="18">
    <w:abstractNumId w:val="22"/>
  </w:num>
  <w:num w:numId="19">
    <w:abstractNumId w:val="13"/>
  </w:num>
  <w:num w:numId="20">
    <w:abstractNumId w:val="11"/>
  </w:num>
  <w:num w:numId="21">
    <w:abstractNumId w:val="14"/>
  </w:num>
  <w:num w:numId="22">
    <w:abstractNumId w:val="26"/>
  </w:num>
  <w:num w:numId="23">
    <w:abstractNumId w:val="0"/>
  </w:num>
  <w:num w:numId="24">
    <w:abstractNumId w:val="17"/>
  </w:num>
  <w:num w:numId="25">
    <w:abstractNumId w:val="1"/>
  </w:num>
  <w:num w:numId="26">
    <w:abstractNumId w:val="5"/>
  </w:num>
  <w:num w:numId="27">
    <w:abstractNumId w:val="6"/>
  </w:num>
  <w:num w:numId="28">
    <w:abstractNumId w:val="2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44">
    <w:name w:val="Heading 1 Char"/>
    <w:basedOn w:val="1107"/>
    <w:link w:val="1104"/>
    <w:uiPriority w:val="9"/>
    <w:rPr>
      <w:rFonts w:ascii="Arial" w:hAnsi="Arial" w:eastAsia="Arial" w:cs="Arial"/>
      <w:sz w:val="40"/>
      <w:szCs w:val="40"/>
    </w:rPr>
  </w:style>
  <w:style w:type="character" w:styleId="945">
    <w:name w:val="Heading 2 Char"/>
    <w:basedOn w:val="1107"/>
    <w:link w:val="1105"/>
    <w:uiPriority w:val="9"/>
    <w:rPr>
      <w:rFonts w:ascii="Arial" w:hAnsi="Arial" w:eastAsia="Arial" w:cs="Arial"/>
      <w:sz w:val="34"/>
    </w:rPr>
  </w:style>
  <w:style w:type="character" w:styleId="946">
    <w:name w:val="Heading 3 Char"/>
    <w:basedOn w:val="1107"/>
    <w:link w:val="1106"/>
    <w:uiPriority w:val="9"/>
    <w:rPr>
      <w:rFonts w:ascii="Arial" w:hAnsi="Arial" w:eastAsia="Arial" w:cs="Arial"/>
      <w:sz w:val="30"/>
      <w:szCs w:val="30"/>
    </w:rPr>
  </w:style>
  <w:style w:type="paragraph" w:styleId="947">
    <w:name w:val="Heading 4"/>
    <w:basedOn w:val="1103"/>
    <w:next w:val="1103"/>
    <w:link w:val="94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48">
    <w:name w:val="Heading 4 Char"/>
    <w:basedOn w:val="1107"/>
    <w:link w:val="947"/>
    <w:uiPriority w:val="9"/>
    <w:rPr>
      <w:rFonts w:ascii="Arial" w:hAnsi="Arial" w:eastAsia="Arial" w:cs="Arial"/>
      <w:b/>
      <w:bCs/>
      <w:sz w:val="26"/>
      <w:szCs w:val="26"/>
    </w:rPr>
  </w:style>
  <w:style w:type="paragraph" w:styleId="949">
    <w:name w:val="Heading 5"/>
    <w:basedOn w:val="1103"/>
    <w:next w:val="1103"/>
    <w:link w:val="9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50">
    <w:name w:val="Heading 5 Char"/>
    <w:basedOn w:val="1107"/>
    <w:link w:val="949"/>
    <w:uiPriority w:val="9"/>
    <w:rPr>
      <w:rFonts w:ascii="Arial" w:hAnsi="Arial" w:eastAsia="Arial" w:cs="Arial"/>
      <w:b/>
      <w:bCs/>
      <w:sz w:val="24"/>
      <w:szCs w:val="24"/>
    </w:rPr>
  </w:style>
  <w:style w:type="paragraph" w:styleId="951">
    <w:name w:val="Heading 6"/>
    <w:basedOn w:val="1103"/>
    <w:next w:val="1103"/>
    <w:link w:val="9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52">
    <w:name w:val="Heading 6 Char"/>
    <w:basedOn w:val="1107"/>
    <w:link w:val="951"/>
    <w:uiPriority w:val="9"/>
    <w:rPr>
      <w:rFonts w:ascii="Arial" w:hAnsi="Arial" w:eastAsia="Arial" w:cs="Arial"/>
      <w:b/>
      <w:bCs/>
      <w:sz w:val="22"/>
      <w:szCs w:val="22"/>
    </w:rPr>
  </w:style>
  <w:style w:type="paragraph" w:styleId="953">
    <w:name w:val="Heading 7"/>
    <w:basedOn w:val="1103"/>
    <w:next w:val="1103"/>
    <w:link w:val="9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54">
    <w:name w:val="Heading 7 Char"/>
    <w:basedOn w:val="1107"/>
    <w:link w:val="9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55">
    <w:name w:val="Heading 8"/>
    <w:basedOn w:val="1103"/>
    <w:next w:val="1103"/>
    <w:link w:val="9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56">
    <w:name w:val="Heading 8 Char"/>
    <w:basedOn w:val="1107"/>
    <w:link w:val="955"/>
    <w:uiPriority w:val="9"/>
    <w:rPr>
      <w:rFonts w:ascii="Arial" w:hAnsi="Arial" w:eastAsia="Arial" w:cs="Arial"/>
      <w:i/>
      <w:iCs/>
      <w:sz w:val="22"/>
      <w:szCs w:val="22"/>
    </w:rPr>
  </w:style>
  <w:style w:type="paragraph" w:styleId="957">
    <w:name w:val="Heading 9"/>
    <w:basedOn w:val="1103"/>
    <w:next w:val="1103"/>
    <w:link w:val="9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58">
    <w:name w:val="Heading 9 Char"/>
    <w:basedOn w:val="1107"/>
    <w:link w:val="957"/>
    <w:uiPriority w:val="9"/>
    <w:rPr>
      <w:rFonts w:ascii="Arial" w:hAnsi="Arial" w:eastAsia="Arial" w:cs="Arial"/>
      <w:i/>
      <w:iCs/>
      <w:sz w:val="21"/>
      <w:szCs w:val="21"/>
    </w:rPr>
  </w:style>
  <w:style w:type="paragraph" w:styleId="959">
    <w:name w:val="No Spacing"/>
    <w:uiPriority w:val="1"/>
    <w:qFormat/>
    <w:pPr>
      <w:spacing w:before="0" w:after="0" w:line="240" w:lineRule="auto"/>
    </w:pPr>
  </w:style>
  <w:style w:type="paragraph" w:styleId="960">
    <w:name w:val="Title"/>
    <w:basedOn w:val="1103"/>
    <w:next w:val="1103"/>
    <w:link w:val="96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61">
    <w:name w:val="Title Char"/>
    <w:basedOn w:val="1107"/>
    <w:link w:val="960"/>
    <w:uiPriority w:val="10"/>
    <w:rPr>
      <w:sz w:val="48"/>
      <w:szCs w:val="48"/>
    </w:rPr>
  </w:style>
  <w:style w:type="paragraph" w:styleId="962">
    <w:name w:val="Subtitle"/>
    <w:basedOn w:val="1103"/>
    <w:next w:val="1103"/>
    <w:link w:val="963"/>
    <w:uiPriority w:val="11"/>
    <w:qFormat/>
    <w:pPr>
      <w:spacing w:before="200" w:after="200"/>
    </w:pPr>
    <w:rPr>
      <w:sz w:val="24"/>
      <w:szCs w:val="24"/>
    </w:rPr>
  </w:style>
  <w:style w:type="character" w:styleId="963">
    <w:name w:val="Subtitle Char"/>
    <w:basedOn w:val="1107"/>
    <w:link w:val="962"/>
    <w:uiPriority w:val="11"/>
    <w:rPr>
      <w:sz w:val="24"/>
      <w:szCs w:val="24"/>
    </w:rPr>
  </w:style>
  <w:style w:type="paragraph" w:styleId="964">
    <w:name w:val="Quote"/>
    <w:basedOn w:val="1103"/>
    <w:next w:val="1103"/>
    <w:link w:val="965"/>
    <w:uiPriority w:val="29"/>
    <w:qFormat/>
    <w:pPr>
      <w:ind w:left="720" w:right="720"/>
    </w:pPr>
    <w:rPr>
      <w:i/>
    </w:rPr>
  </w:style>
  <w:style w:type="character" w:styleId="965">
    <w:name w:val="Quote Char"/>
    <w:link w:val="964"/>
    <w:uiPriority w:val="29"/>
    <w:rPr>
      <w:i/>
    </w:rPr>
  </w:style>
  <w:style w:type="paragraph" w:styleId="966">
    <w:name w:val="Intense Quote"/>
    <w:basedOn w:val="1103"/>
    <w:next w:val="1103"/>
    <w:link w:val="96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67">
    <w:name w:val="Intense Quote Char"/>
    <w:link w:val="966"/>
    <w:uiPriority w:val="30"/>
    <w:rPr>
      <w:i/>
    </w:rPr>
  </w:style>
  <w:style w:type="character" w:styleId="968">
    <w:name w:val="Header Char"/>
    <w:basedOn w:val="1107"/>
    <w:link w:val="1117"/>
    <w:uiPriority w:val="99"/>
  </w:style>
  <w:style w:type="character" w:styleId="969">
    <w:name w:val="Footer Char"/>
    <w:basedOn w:val="1107"/>
    <w:link w:val="1119"/>
    <w:uiPriority w:val="99"/>
  </w:style>
  <w:style w:type="paragraph" w:styleId="970">
    <w:name w:val="Caption"/>
    <w:basedOn w:val="1103"/>
    <w:next w:val="1103"/>
    <w:link w:val="9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71">
    <w:name w:val="Caption Char"/>
    <w:basedOn w:val="1107"/>
    <w:link w:val="970"/>
    <w:uiPriority w:val="35"/>
    <w:rPr>
      <w:b/>
      <w:bCs/>
      <w:color w:val="4f81bd" w:themeColor="accent1"/>
      <w:sz w:val="18"/>
      <w:szCs w:val="18"/>
    </w:rPr>
  </w:style>
  <w:style w:type="table" w:styleId="972">
    <w:name w:val="Table Grid Light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3">
    <w:name w:val="Plain Table 1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4">
    <w:name w:val="Plain Table 2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5">
    <w:name w:val="Plain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6">
    <w:name w:val="Plain Table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Plain Table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78">
    <w:name w:val="Grid Table 1 Light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Grid Table 1 Light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Grid Table 1 Light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Grid Table 1 Light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Grid Table 1 Light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Grid Table 1 Light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Grid Table 1 Light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Grid Table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2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2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2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2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2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2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3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3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3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3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3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3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4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00">
    <w:name w:val="Grid Table 4 - Accent 1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01">
    <w:name w:val="Grid Table 4 - Accent 2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2">
    <w:name w:val="Grid Table 4 - Accent 3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03">
    <w:name w:val="Grid Table 4 - Accent 4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4">
    <w:name w:val="Grid Table 4 - Accent 5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05">
    <w:name w:val="Grid Table 4 - Accent 6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06">
    <w:name w:val="Grid Table 5 Dark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07">
    <w:name w:val="Grid Table 5 Dark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08">
    <w:name w:val="Grid Table 5 Dark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9">
    <w:name w:val="Grid Table 5 Dark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10">
    <w:name w:val="Grid Table 5 Dark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11">
    <w:name w:val="Grid Table 5 Dark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12">
    <w:name w:val="Grid Table 5 Dark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13">
    <w:name w:val="Grid Table 6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14">
    <w:name w:val="Grid Table 6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15">
    <w:name w:val="Grid Table 6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16">
    <w:name w:val="Grid Table 6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17">
    <w:name w:val="Grid Table 6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18">
    <w:name w:val="Grid Table 6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9">
    <w:name w:val="Grid Table 6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20">
    <w:name w:val="Grid Table 7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7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7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7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7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7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7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List Table 1 Light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List Table 1 Light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List Table 1 Light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List Table 1 Light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List Table 1 Light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List Table 1 Light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List Table 1 Light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List Table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35">
    <w:name w:val="List Table 2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36">
    <w:name w:val="List Table 2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37">
    <w:name w:val="List Table 2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38">
    <w:name w:val="List Table 2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9">
    <w:name w:val="List Table 2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40">
    <w:name w:val="List Table 2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41">
    <w:name w:val="List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3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3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3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3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3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List Table 3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List Table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>
    <w:name w:val="List Table 4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>
    <w:name w:val="List Table 4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>
    <w:name w:val="List Table 4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List Table 4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>
    <w:name w:val="List Table 4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>
    <w:name w:val="List Table 4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>
    <w:name w:val="List Table 5 Dark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6">
    <w:name w:val="List Table 5 Dark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7">
    <w:name w:val="List Table 5 Dark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8">
    <w:name w:val="List Table 5 Dark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9">
    <w:name w:val="List Table 5 Dark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0">
    <w:name w:val="List Table 5 Dark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1">
    <w:name w:val="List Table 5 Dark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2">
    <w:name w:val="List Table 6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63">
    <w:name w:val="List Table 6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64">
    <w:name w:val="List Table 6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5">
    <w:name w:val="List Table 6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66">
    <w:name w:val="List Table 6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67">
    <w:name w:val="List Table 6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68">
    <w:name w:val="List Table 6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9">
    <w:name w:val="List Table 7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70">
    <w:name w:val="List Table 7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71">
    <w:name w:val="List Table 7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72">
    <w:name w:val="List Table 7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73">
    <w:name w:val="List Table 7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74">
    <w:name w:val="List Table 7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75">
    <w:name w:val="List Table 7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76">
    <w:name w:val="Lined - Accent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7">
    <w:name w:val="Lined - Accent 1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8">
    <w:name w:val="Lined - Accent 2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9">
    <w:name w:val="Lined - Accent 3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0">
    <w:name w:val="Lined - Accent 4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1">
    <w:name w:val="Lined - Accent 5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2">
    <w:name w:val="Lined - Accent 6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3">
    <w:name w:val="Bordered &amp; Lined - Accent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4">
    <w:name w:val="Bordered &amp; Lined - Accent 1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85">
    <w:name w:val="Bordered &amp; Lined - Accent 2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86">
    <w:name w:val="Bordered &amp; Lined - Accent 3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7">
    <w:name w:val="Bordered &amp; Lined - Accent 4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8">
    <w:name w:val="Bordered &amp; Lined - Accent 5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9">
    <w:name w:val="Bordered &amp; Lined - Accent 6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90">
    <w:name w:val="Bordered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91">
    <w:name w:val="Bordered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92">
    <w:name w:val="Bordered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93">
    <w:name w:val="Bordered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94">
    <w:name w:val="Bordered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95">
    <w:name w:val="Bordered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96">
    <w:name w:val="Bordered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97">
    <w:name w:val="Footnote Text Char"/>
    <w:link w:val="1122"/>
    <w:uiPriority w:val="99"/>
    <w:rPr>
      <w:sz w:val="18"/>
    </w:rPr>
  </w:style>
  <w:style w:type="paragraph" w:styleId="1098">
    <w:name w:val="endnote text"/>
    <w:basedOn w:val="1103"/>
    <w:link w:val="1099"/>
    <w:uiPriority w:val="99"/>
    <w:semiHidden/>
    <w:unhideWhenUsed/>
    <w:pPr>
      <w:spacing w:after="0" w:line="240" w:lineRule="auto"/>
    </w:pPr>
    <w:rPr>
      <w:sz w:val="20"/>
    </w:rPr>
  </w:style>
  <w:style w:type="character" w:styleId="1099">
    <w:name w:val="Endnote Text Char"/>
    <w:link w:val="1098"/>
    <w:uiPriority w:val="99"/>
    <w:rPr>
      <w:sz w:val="20"/>
    </w:rPr>
  </w:style>
  <w:style w:type="character" w:styleId="1100">
    <w:name w:val="endnote reference"/>
    <w:basedOn w:val="1107"/>
    <w:uiPriority w:val="99"/>
    <w:semiHidden/>
    <w:unhideWhenUsed/>
    <w:rPr>
      <w:vertAlign w:val="superscript"/>
    </w:rPr>
  </w:style>
  <w:style w:type="paragraph" w:styleId="1101">
    <w:name w:val="TOC Heading"/>
    <w:uiPriority w:val="39"/>
    <w:unhideWhenUsed/>
  </w:style>
  <w:style w:type="paragraph" w:styleId="1102">
    <w:name w:val="table of figures"/>
    <w:basedOn w:val="1103"/>
    <w:next w:val="1103"/>
    <w:uiPriority w:val="99"/>
    <w:unhideWhenUsed/>
    <w:pPr>
      <w:spacing w:after="0" w:afterAutospacing="0"/>
    </w:pPr>
  </w:style>
  <w:style w:type="paragraph" w:styleId="1103" w:default="1">
    <w:name w:val="Normal"/>
    <w:qFormat/>
  </w:style>
  <w:style w:type="paragraph" w:styleId="1104">
    <w:name w:val="Heading 1"/>
    <w:basedOn w:val="1103"/>
    <w:next w:val="1103"/>
    <w:link w:val="1155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05">
    <w:name w:val="Heading 2"/>
    <w:basedOn w:val="1103"/>
    <w:next w:val="1103"/>
    <w:link w:val="1156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06">
    <w:name w:val="Heading 3"/>
    <w:basedOn w:val="1103"/>
    <w:next w:val="1103"/>
    <w:link w:val="1157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07" w:default="1">
    <w:name w:val="Default Paragraph Font"/>
    <w:uiPriority w:val="1"/>
    <w:semiHidden/>
    <w:unhideWhenUsed/>
  </w:style>
  <w:style w:type="table" w:styleId="11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9" w:default="1">
    <w:name w:val="No List"/>
    <w:uiPriority w:val="99"/>
    <w:semiHidden/>
    <w:unhideWhenUsed/>
  </w:style>
  <w:style w:type="paragraph" w:styleId="1110" w:customStyle="1">
    <w:name w:val="[РГ] Раздел"/>
    <w:basedOn w:val="1103"/>
    <w:next w:val="111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11" w:customStyle="1">
    <w:name w:val="[РГ] Подраздел"/>
    <w:basedOn w:val="1103"/>
    <w:next w:val="111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12" w:customStyle="1">
    <w:name w:val="[РГ] Пункт"/>
    <w:basedOn w:val="1103"/>
    <w:qFormat/>
    <w:pPr>
      <w:numPr>
        <w:ilvl w:val="2"/>
        <w:numId w:val="1"/>
      </w:numPr>
      <w:jc w:val="both"/>
      <w:outlineLvl w:val="2"/>
    </w:pPr>
  </w:style>
  <w:style w:type="paragraph" w:styleId="1113" w:customStyle="1">
    <w:name w:val="[РГ] Подпункт"/>
    <w:basedOn w:val="1103"/>
    <w:qFormat/>
    <w:pPr>
      <w:numPr>
        <w:ilvl w:val="3"/>
        <w:numId w:val="1"/>
      </w:numPr>
      <w:jc w:val="both"/>
      <w:outlineLvl w:val="3"/>
    </w:pPr>
  </w:style>
  <w:style w:type="paragraph" w:styleId="1114" w:customStyle="1">
    <w:name w:val="[РГ] Перечисление"/>
    <w:basedOn w:val="1103"/>
    <w:qFormat/>
    <w:pPr>
      <w:numPr>
        <w:ilvl w:val="4"/>
        <w:numId w:val="1"/>
      </w:numPr>
      <w:jc w:val="both"/>
      <w:outlineLvl w:val="4"/>
    </w:pPr>
  </w:style>
  <w:style w:type="paragraph" w:styleId="1115" w:customStyle="1">
    <w:name w:val="[РГ] Заголовок"/>
    <w:basedOn w:val="1103"/>
    <w:next w:val="111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16" w:customStyle="1">
    <w:name w:val="[РГ] Текст"/>
    <w:basedOn w:val="1103"/>
    <w:qFormat/>
    <w:pPr>
      <w:jc w:val="both"/>
    </w:pPr>
  </w:style>
  <w:style w:type="paragraph" w:styleId="1117">
    <w:name w:val="Header"/>
    <w:basedOn w:val="1103"/>
    <w:link w:val="1118"/>
    <w:uiPriority w:val="99"/>
    <w:unhideWhenUsed/>
    <w:pPr>
      <w:jc w:val="center"/>
      <w:spacing w:before="0" w:after="120"/>
    </w:pPr>
  </w:style>
  <w:style w:type="character" w:styleId="1118" w:customStyle="1">
    <w:name w:val="Верхний колонтитул Знак"/>
    <w:basedOn w:val="1107"/>
    <w:link w:val="1117"/>
    <w:uiPriority w:val="99"/>
  </w:style>
  <w:style w:type="paragraph" w:styleId="1119">
    <w:name w:val="Footer"/>
    <w:basedOn w:val="1103"/>
    <w:link w:val="1120"/>
    <w:unhideWhenUsed/>
    <w:pPr>
      <w:jc w:val="right"/>
    </w:pPr>
  </w:style>
  <w:style w:type="character" w:styleId="1120" w:customStyle="1">
    <w:name w:val="Нижний колонтитул Знак"/>
    <w:basedOn w:val="1107"/>
    <w:link w:val="1119"/>
    <w:uiPriority w:val="99"/>
  </w:style>
  <w:style w:type="character" w:styleId="1121" w:customStyle="1">
    <w:name w:val="[РГ] Инструкция для организатора"/>
    <w:basedOn w:val="1107"/>
    <w:uiPriority w:val="1"/>
    <w:qFormat/>
    <w:rPr>
      <w:i/>
      <w:iCs/>
      <w:shd w:val="clear" w:color="auto" w:fill="ffff99"/>
      <w:lang w:val="ru-RU"/>
    </w:rPr>
  </w:style>
  <w:style w:type="paragraph" w:styleId="1122">
    <w:name w:val="footnote text"/>
    <w:basedOn w:val="1103"/>
    <w:link w:val="1123"/>
    <w:uiPriority w:val="99"/>
    <w:semiHidden/>
    <w:unhideWhenUsed/>
    <w:pPr>
      <w:spacing w:before="0"/>
    </w:pPr>
    <w:rPr>
      <w:sz w:val="20"/>
      <w:szCs w:val="20"/>
    </w:rPr>
  </w:style>
  <w:style w:type="character" w:styleId="1123" w:customStyle="1">
    <w:name w:val="Текст сноски Знак"/>
    <w:basedOn w:val="1107"/>
    <w:link w:val="1122"/>
    <w:uiPriority w:val="99"/>
    <w:semiHidden/>
    <w:rPr>
      <w:sz w:val="20"/>
      <w:szCs w:val="20"/>
    </w:rPr>
  </w:style>
  <w:style w:type="character" w:styleId="1124">
    <w:name w:val="footnote reference"/>
    <w:basedOn w:val="1107"/>
    <w:unhideWhenUsed/>
    <w:rPr>
      <w:vertAlign w:val="superscript"/>
    </w:rPr>
  </w:style>
  <w:style w:type="paragraph" w:styleId="1125" w:customStyle="1">
    <w:name w:val="[РГ] Сноска"/>
    <w:basedOn w:val="1122"/>
    <w:qFormat/>
    <w:pPr>
      <w:ind w:left="567" w:hanging="567"/>
      <w:jc w:val="both"/>
      <w:spacing w:before="80"/>
    </w:pPr>
    <w:rPr>
      <w:sz w:val="22"/>
    </w:rPr>
  </w:style>
  <w:style w:type="character" w:styleId="1126">
    <w:name w:val="Hyperlink"/>
    <w:basedOn w:val="1107"/>
    <w:uiPriority w:val="99"/>
    <w:unhideWhenUsed/>
    <w:rPr>
      <w:color w:val="0563c1" w:themeColor="hyperlink"/>
      <w:u w:val="single"/>
    </w:rPr>
  </w:style>
  <w:style w:type="character" w:styleId="1127">
    <w:name w:val="Unresolved Mention"/>
    <w:basedOn w:val="1107"/>
    <w:uiPriority w:val="99"/>
    <w:semiHidden/>
    <w:unhideWhenUsed/>
    <w:rPr>
      <w:color w:val="605e5c"/>
      <w:shd w:val="clear" w:color="auto" w:fill="e1dfdd"/>
    </w:rPr>
  </w:style>
  <w:style w:type="paragraph" w:styleId="1128">
    <w:name w:val="toc 2"/>
    <w:basedOn w:val="1103"/>
    <w:next w:val="1103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29">
    <w:name w:val="toc 1"/>
    <w:basedOn w:val="1103"/>
    <w:next w:val="1103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30">
    <w:name w:val="toc 3"/>
    <w:basedOn w:val="1103"/>
    <w:next w:val="1103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1">
    <w:name w:val="toc 4"/>
    <w:basedOn w:val="1103"/>
    <w:next w:val="1103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2">
    <w:name w:val="toc 5"/>
    <w:basedOn w:val="1103"/>
    <w:next w:val="1103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3">
    <w:name w:val="toc 6"/>
    <w:basedOn w:val="1103"/>
    <w:next w:val="1103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4">
    <w:name w:val="toc 7"/>
    <w:basedOn w:val="1103"/>
    <w:next w:val="1103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5">
    <w:name w:val="toc 8"/>
    <w:basedOn w:val="1103"/>
    <w:next w:val="1103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6">
    <w:name w:val="toc 9"/>
    <w:basedOn w:val="1103"/>
    <w:next w:val="1103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37" w:customStyle="1">
    <w:name w:val="[РГ] Таблица"/>
    <w:basedOn w:val="110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38">
    <w:name w:val="Table Grid"/>
    <w:basedOn w:val="110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9">
    <w:name w:val="Placeholder Text"/>
    <w:basedOn w:val="1107"/>
    <w:uiPriority w:val="99"/>
    <w:semiHidden/>
    <w:rPr>
      <w:color w:val="808080"/>
    </w:rPr>
  </w:style>
  <w:style w:type="character" w:styleId="1140" w:customStyle="1">
    <w:name w:val="[РГ] Отсылка"/>
    <w:basedOn w:val="110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41">
    <w:name w:val="annotation reference"/>
    <w:basedOn w:val="1107"/>
    <w:unhideWhenUsed/>
    <w:rPr>
      <w:sz w:val="16"/>
      <w:szCs w:val="16"/>
    </w:rPr>
  </w:style>
  <w:style w:type="paragraph" w:styleId="1142">
    <w:name w:val="annotation text"/>
    <w:basedOn w:val="1103"/>
    <w:link w:val="1143"/>
    <w:uiPriority w:val="99"/>
    <w:unhideWhenUsed/>
    <w:rPr>
      <w:sz w:val="20"/>
      <w:szCs w:val="20"/>
    </w:rPr>
  </w:style>
  <w:style w:type="character" w:styleId="1143" w:customStyle="1">
    <w:name w:val="Текст примечания Знак"/>
    <w:basedOn w:val="1107"/>
    <w:link w:val="1142"/>
    <w:uiPriority w:val="99"/>
    <w:rPr>
      <w:sz w:val="20"/>
      <w:szCs w:val="20"/>
    </w:rPr>
  </w:style>
  <w:style w:type="paragraph" w:styleId="1144">
    <w:name w:val="annotation subject"/>
    <w:basedOn w:val="1142"/>
    <w:next w:val="1142"/>
    <w:link w:val="1145"/>
    <w:uiPriority w:val="99"/>
    <w:semiHidden/>
    <w:unhideWhenUsed/>
    <w:rPr>
      <w:b/>
      <w:bCs/>
    </w:rPr>
  </w:style>
  <w:style w:type="character" w:styleId="1145" w:customStyle="1">
    <w:name w:val="Тема примечания Знак"/>
    <w:basedOn w:val="1143"/>
    <w:link w:val="1144"/>
    <w:uiPriority w:val="99"/>
    <w:semiHidden/>
    <w:rPr>
      <w:b/>
      <w:bCs/>
      <w:sz w:val="20"/>
      <w:szCs w:val="20"/>
    </w:rPr>
  </w:style>
  <w:style w:type="paragraph" w:styleId="1146" w:customStyle="1">
    <w:name w:val="[РГ] Альтернатива / Дополнение"/>
    <w:basedOn w:val="1116"/>
    <w:next w:val="1116"/>
    <w:qFormat/>
    <w:rPr>
      <w:i/>
      <w:shd w:val="clear" w:color="auto" w:fill="ccecff"/>
    </w:rPr>
  </w:style>
  <w:style w:type="character" w:styleId="1147" w:customStyle="1">
    <w:name w:val="[РГ] Инструкция для участника"/>
    <w:basedOn w:val="1107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48">
    <w:name w:val="Revision"/>
    <w:hidden/>
    <w:uiPriority w:val="99"/>
    <w:semiHidden/>
    <w:pPr>
      <w:spacing w:before="0"/>
    </w:pPr>
  </w:style>
  <w:style w:type="character" w:styleId="1149">
    <w:name w:val="FollowedHyperlink"/>
    <w:basedOn w:val="1107"/>
    <w:uiPriority w:val="99"/>
    <w:semiHidden/>
    <w:unhideWhenUsed/>
    <w:rPr>
      <w:color w:val="954f72" w:themeColor="followedHyperlink"/>
      <w:u w:val="single"/>
    </w:rPr>
  </w:style>
  <w:style w:type="paragraph" w:styleId="1150">
    <w:name w:val="List Paragraph"/>
    <w:basedOn w:val="1103"/>
    <w:uiPriority w:val="34"/>
    <w:qFormat/>
    <w:pPr>
      <w:contextualSpacing/>
      <w:ind w:left="720"/>
    </w:pPr>
  </w:style>
  <w:style w:type="paragraph" w:styleId="1151" w:customStyle="1">
    <w:name w:val="Пункт"/>
    <w:basedOn w:val="1103"/>
    <w:link w:val="1152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52" w:customStyle="1">
    <w:name w:val="Пункт Знак2"/>
    <w:link w:val="1151"/>
    <w:rPr>
      <w:rFonts w:eastAsia="Times New Roman" w:cs="Times New Roman"/>
      <w:szCs w:val="26"/>
      <w:lang w:eastAsia="ru-RU"/>
    </w:rPr>
  </w:style>
  <w:style w:type="paragraph" w:styleId="1153" w:customStyle="1">
    <w:name w:val="Подпункт"/>
    <w:basedOn w:val="1151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54" w:customStyle="1">
    <w:name w:val="Подподпункт"/>
    <w:basedOn w:val="1153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55" w:customStyle="1">
    <w:name w:val="Заголовок 1 Знак"/>
    <w:basedOn w:val="1107"/>
    <w:link w:val="1104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56" w:customStyle="1">
    <w:name w:val="Заголовок 2 Знак"/>
    <w:basedOn w:val="1107"/>
    <w:link w:val="1105"/>
    <w:rPr>
      <w:rFonts w:eastAsia="Times New Roman" w:cs="Times New Roman"/>
      <w:b/>
      <w:sz w:val="32"/>
      <w:szCs w:val="26"/>
      <w:lang w:eastAsia="ru-RU"/>
    </w:rPr>
  </w:style>
  <w:style w:type="character" w:styleId="1157" w:customStyle="1">
    <w:name w:val="Заголовок 3 Знак"/>
    <w:basedOn w:val="1107"/>
    <w:link w:val="1106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58">
    <w:name w:val="Balloon Text"/>
    <w:basedOn w:val="1103"/>
    <w:link w:val="1159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59" w:customStyle="1">
    <w:name w:val="Текст выноски Знак"/>
    <w:basedOn w:val="1107"/>
    <w:link w:val="1158"/>
    <w:uiPriority w:val="99"/>
    <w:semiHidden/>
    <w:rPr>
      <w:rFonts w:ascii="Segoe UI" w:hAnsi="Segoe UI" w:cs="Segoe UI"/>
      <w:sz w:val="18"/>
      <w:szCs w:val="18"/>
    </w:rPr>
  </w:style>
  <w:style w:type="paragraph" w:styleId="1160" w:customStyle="1">
    <w:name w:val="РГ_ЕПоЗ_1."/>
    <w:basedOn w:val="1103"/>
    <w:qFormat/>
    <w:pPr>
      <w:numPr>
        <w:ilvl w:val="0"/>
        <w:numId w:val="26"/>
      </w:numPr>
      <w:jc w:val="both"/>
      <w:keepNext/>
      <w:spacing w:before="480"/>
      <w:tabs>
        <w:tab w:val="left" w:pos="1418" w:leader="none"/>
      </w:tabs>
      <w:outlineLvl w:val="0"/>
    </w:pPr>
    <w:rPr>
      <w:rFonts w:eastAsia="Times New Roman" w:cs="Times New Roman"/>
      <w:b/>
      <w:sz w:val="28"/>
      <w:szCs w:val="28"/>
      <w:lang w:eastAsia="ru-RU"/>
    </w:rPr>
  </w:style>
  <w:style w:type="paragraph" w:styleId="1161" w:customStyle="1">
    <w:name w:val="РГ_ЕПоЗ_1.1"/>
    <w:basedOn w:val="1103"/>
    <w:qFormat/>
    <w:pPr>
      <w:numPr>
        <w:ilvl w:val="1"/>
        <w:numId w:val="26"/>
      </w:numPr>
      <w:ind w:left="1134" w:hanging="567"/>
      <w:jc w:val="both"/>
      <w:keepNext/>
      <w:spacing w:before="360"/>
      <w:tabs>
        <w:tab w:val="left" w:pos="1418" w:leader="none"/>
      </w:tabs>
      <w:outlineLvl w:val="1"/>
    </w:pPr>
    <w:rPr>
      <w:rFonts w:eastAsia="Times New Roman" w:cs="Times New Roman"/>
      <w:b/>
      <w:sz w:val="28"/>
      <w:szCs w:val="28"/>
      <w:lang w:eastAsia="ru-RU"/>
    </w:rPr>
  </w:style>
  <w:style w:type="paragraph" w:styleId="1162" w:customStyle="1">
    <w:name w:val="РГ_ЕПоЗ_а)"/>
    <w:basedOn w:val="1150"/>
    <w:link w:val="1164"/>
    <w:qFormat/>
    <w:pPr>
      <w:numPr>
        <w:ilvl w:val="4"/>
        <w:numId w:val="26"/>
      </w:numPr>
      <w:contextualSpacing w:val="0"/>
      <w:jc w:val="both"/>
    </w:pPr>
    <w:rPr>
      <w:rFonts w:eastAsia="Calibri" w:cs="Times New Roman"/>
      <w:sz w:val="28"/>
      <w:szCs w:val="28"/>
    </w:rPr>
  </w:style>
  <w:style w:type="paragraph" w:styleId="1163" w:customStyle="1">
    <w:name w:val="РГ_ЕПоЗ_1.1.1.1"/>
    <w:basedOn w:val="1103"/>
    <w:qFormat/>
    <w:pPr>
      <w:numPr>
        <w:ilvl w:val="3"/>
        <w:numId w:val="26"/>
      </w:numPr>
      <w:jc w:val="both"/>
      <w:tabs>
        <w:tab w:val="left" w:pos="1843" w:leader="none"/>
      </w:tabs>
    </w:pPr>
    <w:rPr>
      <w:rFonts w:eastAsia="Times New Roman" w:cs="Times New Roman"/>
      <w:sz w:val="28"/>
      <w:szCs w:val="28"/>
      <w:lang w:eastAsia="ru-RU"/>
    </w:rPr>
  </w:style>
  <w:style w:type="character" w:styleId="1164" w:customStyle="1">
    <w:name w:val="РГ_ЕПоЗ_а) Знак"/>
    <w:basedOn w:val="1107"/>
    <w:link w:val="1162"/>
    <w:rPr>
      <w:rFonts w:eastAsia="Calibri" w:cs="Times New Roman"/>
      <w:sz w:val="28"/>
      <w:szCs w:val="28"/>
    </w:rPr>
  </w:style>
  <w:style w:type="paragraph" w:styleId="1165" w:customStyle="1">
    <w:name w:val="РГ_ЕПоЗ_-"/>
    <w:basedOn w:val="1103"/>
    <w:link w:val="1167"/>
    <w:qFormat/>
    <w:pPr>
      <w:numPr>
        <w:ilvl w:val="5"/>
        <w:numId w:val="26"/>
      </w:numPr>
      <w:jc w:val="both"/>
      <w:spacing w:before="0"/>
      <w:tabs>
        <w:tab w:val="left" w:pos="2552" w:leader="none"/>
      </w:tabs>
    </w:pPr>
    <w:rPr>
      <w:rFonts w:eastAsia="Times New Roman" w:cs="Times New Roman"/>
      <w:sz w:val="28"/>
      <w:szCs w:val="20"/>
      <w:lang w:eastAsia="ru-RU"/>
    </w:rPr>
  </w:style>
  <w:style w:type="paragraph" w:styleId="1166" w:customStyle="1">
    <w:name w:val="РГ_ЕПоЗ_1.1.1"/>
    <w:basedOn w:val="1103"/>
    <w:qFormat/>
    <w:pPr>
      <w:numPr>
        <w:ilvl w:val="2"/>
        <w:numId w:val="26"/>
      </w:numPr>
      <w:jc w:val="both"/>
      <w:tabs>
        <w:tab w:val="left" w:pos="1134" w:leader="none"/>
      </w:tabs>
    </w:pPr>
    <w:rPr>
      <w:rFonts w:eastAsia="Times New Roman" w:cs="Times New Roman"/>
      <w:sz w:val="28"/>
      <w:szCs w:val="28"/>
      <w:lang w:eastAsia="ru-RU"/>
    </w:rPr>
  </w:style>
  <w:style w:type="character" w:styleId="1167" w:customStyle="1">
    <w:name w:val="РГ_ЕПоЗ_- Знак"/>
    <w:basedOn w:val="1107"/>
    <w:link w:val="1165"/>
    <w:rPr>
      <w:rFonts w:eastAsia="Times New Roman" w:cs="Times New Roman"/>
      <w:sz w:val="28"/>
      <w:szCs w:val="20"/>
      <w:lang w:eastAsia="ru-RU"/>
    </w:rPr>
  </w:style>
  <w:style w:type="paragraph" w:styleId="1168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hyperlink" Target="https://msp.roseltorg.ru" TargetMode="External"/><Relationship Id="rId15" Type="http://schemas.openxmlformats.org/officeDocument/2006/relationships/hyperlink" Target="http://www.roseltorg.ru/knowledge_db/docs/documents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dgk@dgk.ru" TargetMode="External"/><Relationship Id="rId18" Type="http://schemas.openxmlformats.org/officeDocument/2006/relationships/hyperlink" Target="mailto:fedyasheva-ig@dgk.ru" TargetMode="External"/><Relationship Id="rId19" Type="http://schemas.openxmlformats.org/officeDocument/2006/relationships/image" Target="media/image2.png"/><Relationship Id="rId20" Type="http://schemas.openxmlformats.org/officeDocument/2006/relationships/image" Target="media/media1.svg"/><Relationship Id="rId21" Type="http://schemas.openxmlformats.org/officeDocument/2006/relationships/image" Target="media/image3.png"/><Relationship Id="rId22" Type="http://schemas.openxmlformats.org/officeDocument/2006/relationships/image" Target="media/media2.svg"/><Relationship Id="rId23" Type="http://schemas.openxmlformats.org/officeDocument/2006/relationships/image" Target="media/image4.png"/><Relationship Id="rId24" Type="http://schemas.openxmlformats.org/officeDocument/2006/relationships/image" Target="media/media3.svg"/><Relationship Id="rId25" Type="http://schemas.openxmlformats.org/officeDocument/2006/relationships/image" Target="media/image5.png"/><Relationship Id="rId26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C3160-6867-45F3-941F-E021B5F5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sorokoletova_as</cp:lastModifiedBy>
  <cp:revision>27</cp:revision>
  <dcterms:created xsi:type="dcterms:W3CDTF">2025-07-21T13:44:00Z</dcterms:created>
  <dcterms:modified xsi:type="dcterms:W3CDTF">2026-08-26T02:08:45Z</dcterms:modified>
</cp:coreProperties>
</file>